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6FCAA2">
      <w:pPr>
        <w:spacing w:line="560" w:lineRule="exact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附件2</w:t>
      </w:r>
    </w:p>
    <w:p w14:paraId="07AA0A34">
      <w:pPr>
        <w:spacing w:line="560" w:lineRule="exact"/>
        <w:rPr>
          <w:rFonts w:hint="default" w:ascii="Times New Roman" w:hAnsi="Times New Roman" w:eastAsia="方正黑体_GBK" w:cs="Times New Roman"/>
          <w:sz w:val="32"/>
          <w:szCs w:val="32"/>
        </w:rPr>
      </w:pPr>
    </w:p>
    <w:p w14:paraId="26551CFF">
      <w:pPr>
        <w:rPr>
          <w:rFonts w:hint="default" w:ascii="Times New Roman" w:hAnsi="Times New Roman" w:eastAsia="方正小标宋_GBK" w:cs="Times New Roman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sz w:val="36"/>
          <w:szCs w:val="36"/>
        </w:rPr>
        <w:t xml:space="preserve"> 2025年重庆市初中道德与法治学科优质课大赛评价量表</w:t>
      </w:r>
    </w:p>
    <w:tbl>
      <w:tblPr>
        <w:tblStyle w:val="3"/>
        <w:tblW w:w="9218" w:type="dxa"/>
        <w:tblInd w:w="75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3"/>
        <w:gridCol w:w="7421"/>
        <w:gridCol w:w="391"/>
        <w:gridCol w:w="423"/>
      </w:tblGrid>
      <w:tr w14:paraId="3D7E2358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3255A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Cs w:val="21"/>
                <w:lang w:bidi="ar"/>
              </w:rPr>
              <w:t>评价指标</w:t>
            </w:r>
          </w:p>
        </w:tc>
        <w:tc>
          <w:tcPr>
            <w:tcW w:w="7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00A17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Cs w:val="21"/>
                <w:lang w:bidi="ar"/>
              </w:rPr>
              <w:t>评价要点</w:t>
            </w:r>
          </w:p>
        </w:tc>
        <w:tc>
          <w:tcPr>
            <w:tcW w:w="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3A415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Cs w:val="21"/>
                <w:lang w:bidi="ar"/>
              </w:rPr>
              <w:t>权重</w:t>
            </w:r>
          </w:p>
        </w:tc>
      </w:tr>
      <w:tr w14:paraId="14EFB691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04E4A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</w:rPr>
              <w:t>教学设计</w:t>
            </w:r>
          </w:p>
        </w:tc>
        <w:tc>
          <w:tcPr>
            <w:tcW w:w="7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CC3FD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/>
              <w:textAlignment w:val="baseline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见教学设计模板</w:t>
            </w:r>
          </w:p>
        </w:tc>
        <w:tc>
          <w:tcPr>
            <w:tcW w:w="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1268F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10" w:firstLineChars="10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15%</w:t>
            </w:r>
          </w:p>
        </w:tc>
      </w:tr>
      <w:tr w14:paraId="7C034E7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67A7C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  <w:t>教学目标</w:t>
            </w:r>
          </w:p>
        </w:tc>
        <w:tc>
          <w:tcPr>
            <w:tcW w:w="7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6EBA9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/>
              <w:textAlignment w:val="baseline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1.落实立德树人根本任务；政治立场鲜明，价值导向清晰，知行要求明确，可操作、可观察、可测评；</w:t>
            </w:r>
          </w:p>
          <w:p w14:paraId="5B194D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baseline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      2.基于课标、教材和学情，制定指向核心素养的大单元教学目标和课时目标，科学合理处理二者之间的关系。</w:t>
            </w:r>
          </w:p>
          <w:p w14:paraId="42F186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3.体现学习的过程和结果，描述学生经历学习过程后应达成的目标。</w:t>
            </w:r>
          </w:p>
        </w:tc>
        <w:tc>
          <w:tcPr>
            <w:tcW w:w="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29CE3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15%</w:t>
            </w:r>
          </w:p>
        </w:tc>
        <w:tc>
          <w:tcPr>
            <w:tcW w:w="42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E5A83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85%</w:t>
            </w:r>
          </w:p>
        </w:tc>
      </w:tr>
      <w:tr w14:paraId="2A2027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C8FE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  <w:t>教学内容</w:t>
            </w:r>
          </w:p>
        </w:tc>
        <w:tc>
          <w:tcPr>
            <w:tcW w:w="7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953A8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/>
              <w:textAlignment w:val="baseline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1.科学把握课程、主题、单元和课时教学内容的关系，明确核心内容对发展学生核心素养的价值；</w:t>
            </w:r>
          </w:p>
          <w:p w14:paraId="12817E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/>
              <w:textAlignment w:val="baseline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2.创造性处理教材内容，教材解读准确、完整、深入，科学呈现教学内容；</w:t>
            </w:r>
          </w:p>
          <w:p w14:paraId="227639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/>
              <w:textAlignment w:val="baseline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3.重、难点把握准确，指向学科核心内容、思想方法、核心素养的落实；</w:t>
            </w:r>
          </w:p>
          <w:p w14:paraId="120FB5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/>
              <w:textAlignment w:val="baseline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4.及时丰富和充实教学内容，反映党和国家重大实践和理论创新成果；</w:t>
            </w:r>
          </w:p>
          <w:p w14:paraId="329EC4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/>
              <w:textAlignment w:val="baseline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5.合理运用多样化、与生活紧密联系的教学资源，有机整合教学内容。</w:t>
            </w:r>
          </w:p>
        </w:tc>
        <w:tc>
          <w:tcPr>
            <w:tcW w:w="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BBCD0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20%</w:t>
            </w:r>
          </w:p>
        </w:tc>
        <w:tc>
          <w:tcPr>
            <w:tcW w:w="42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063A3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</w:p>
        </w:tc>
      </w:tr>
      <w:tr w14:paraId="50C0C07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134D7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  <w:t>教师教学</w:t>
            </w:r>
          </w:p>
        </w:tc>
        <w:tc>
          <w:tcPr>
            <w:tcW w:w="7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86788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/>
              <w:textAlignment w:val="baseline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1.教师遵循“六要”要求，坚持“八个相统一”，守正创新推动思政课建设内涵式发展，不断提高其针对性和吸引力；</w:t>
            </w:r>
          </w:p>
          <w:p w14:paraId="37FABA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/>
              <w:textAlignment w:val="baseline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2.教学方法灵活多样，与学情及教学内容相匹配，引导学生在真实情境中分析问题和解决问题，关注学生解决问题的过程和结果；</w:t>
            </w:r>
          </w:p>
          <w:p w14:paraId="29BA64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/>
              <w:textAlignment w:val="baseline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3.教学要与社会实践活动相结合，加强课内课外联结，体现大中小学思政课“一体化”建设要求；</w:t>
            </w:r>
          </w:p>
          <w:p w14:paraId="30FE99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/>
              <w:textAlignment w:val="baseline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4.教学活动有序开展，重视学生思维过程和思维方法（思维过程可视化）；</w:t>
            </w:r>
          </w:p>
          <w:p w14:paraId="0291B9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/>
              <w:textAlignment w:val="baseline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5.坚持素养导向、以评促学、以评促教。评价反馈应注重即时性、生成性、针对性，努力实现“教—学—评”一致性；</w:t>
            </w:r>
          </w:p>
          <w:p w14:paraId="0BA52B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/>
              <w:textAlignment w:val="baseline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6.教态自然大方，教学语言生动、严谨、深刻、凝练、流畅，师生关系平等、民主、和谐；</w:t>
            </w:r>
          </w:p>
          <w:p w14:paraId="1561D0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/>
              <w:textAlignment w:val="baseline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7.板书规范、美观，准确反映教学内容、思维进阶等，逻辑性强。</w:t>
            </w:r>
          </w:p>
        </w:tc>
        <w:tc>
          <w:tcPr>
            <w:tcW w:w="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B0B6D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20%</w:t>
            </w:r>
          </w:p>
        </w:tc>
        <w:tc>
          <w:tcPr>
            <w:tcW w:w="42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F6387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</w:p>
        </w:tc>
      </w:tr>
      <w:tr w14:paraId="50B5D458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E9A9B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  <w:t>学生表现</w:t>
            </w:r>
          </w:p>
        </w:tc>
        <w:tc>
          <w:tcPr>
            <w:tcW w:w="7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5B1F361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kern w:val="0"/>
                <w:sz w:val="24"/>
                <w:shd w:val="clear" w:color="auto" w:fill="FFFFFF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shd w:val="clear" w:color="auto" w:fill="FFFFFF"/>
                <w:lang w:bidi="ar"/>
              </w:rPr>
              <w:t>1.积极主动参与学习，认真倾听他人观点，乐于合作与分享；保持独立思考，敢于质疑，勇于表达自己的见解。</w:t>
            </w:r>
          </w:p>
          <w:p w14:paraId="614B3F26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kern w:val="0"/>
                <w:sz w:val="24"/>
                <w:shd w:val="clear" w:color="auto" w:fill="FFFFFF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shd w:val="clear" w:color="auto" w:fill="FFFFFF"/>
                <w:lang w:bidi="ar"/>
              </w:rPr>
              <w:t>2.能够运用所学知识和方法探究问题、解决问题，体现高阶思维能力（如分析、综合、创新）；在合作学习中，能与同伴进行思维碰撞、方法互启，优化个人认知结构。</w:t>
            </w:r>
          </w:p>
          <w:p w14:paraId="0A62E712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kern w:val="0"/>
                <w:sz w:val="24"/>
                <w:shd w:val="clear" w:color="auto" w:fill="FFFFFF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shd w:val="clear" w:color="auto" w:fill="FFFFFF"/>
                <w:lang w:bidi="ar"/>
              </w:rPr>
              <w:t>3.在师生、生生互动中，能提出有意义的问题或独特见解，推动课堂深度讨论；能够从多角度辩证分析问题，修正或完善自身观点，体现反思与成长。</w:t>
            </w:r>
          </w:p>
        </w:tc>
        <w:tc>
          <w:tcPr>
            <w:tcW w:w="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1170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20%</w:t>
            </w:r>
          </w:p>
        </w:tc>
        <w:tc>
          <w:tcPr>
            <w:tcW w:w="42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2795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</w:p>
        </w:tc>
      </w:tr>
      <w:tr w14:paraId="23D8C6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3C991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  <w:t>教学效果</w:t>
            </w:r>
          </w:p>
        </w:tc>
        <w:tc>
          <w:tcPr>
            <w:tcW w:w="7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1A49E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/>
              <w:textAlignment w:val="baseline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1.重点突出，难点突破，目标达成度高；</w:t>
            </w:r>
          </w:p>
          <w:p w14:paraId="7DDF42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/>
              <w:textAlignment w:val="baseline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2.学生核心素养得到有效培养，不同层次学生均得到有效发展。</w:t>
            </w:r>
          </w:p>
        </w:tc>
        <w:tc>
          <w:tcPr>
            <w:tcW w:w="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BE4F2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15%</w:t>
            </w:r>
          </w:p>
        </w:tc>
        <w:tc>
          <w:tcPr>
            <w:tcW w:w="42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2F6E9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</w:p>
        </w:tc>
      </w:tr>
      <w:tr w14:paraId="7FB7F14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7E3F0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  <w:t>数智赋能</w:t>
            </w:r>
          </w:p>
        </w:tc>
        <w:tc>
          <w:tcPr>
            <w:tcW w:w="7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7AE1C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/>
              <w:textAlignment w:val="baseline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1.核心素养落实与数字化教学深度融合，探索多元化、个性化、沉浸式、交互式的课堂模式。</w:t>
            </w:r>
          </w:p>
          <w:p w14:paraId="6ED203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/>
              <w:textAlignment w:val="baseline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2.充分利用数字技术在拓展教学时间与空间、提供学习资源与工具、增进学生体验与互动、支持数据采集与运用等方面的优势。 </w:t>
            </w:r>
          </w:p>
        </w:tc>
        <w:tc>
          <w:tcPr>
            <w:tcW w:w="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ACDB7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10%</w:t>
            </w:r>
          </w:p>
        </w:tc>
        <w:tc>
          <w:tcPr>
            <w:tcW w:w="4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6DBB6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</w:p>
        </w:tc>
      </w:tr>
    </w:tbl>
    <w:p w14:paraId="761714EB">
      <w:pPr>
        <w:spacing w:line="60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重庆市2025年初中道德与法治学科优质课大赛</w:t>
      </w:r>
    </w:p>
    <w:p w14:paraId="385D7717">
      <w:pPr>
        <w:spacing w:line="60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报名表（二维码）</w:t>
      </w:r>
    </w:p>
    <w:p w14:paraId="0D2637AB">
      <w:pPr>
        <w:spacing w:line="60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998220</wp:posOffset>
            </wp:positionH>
            <wp:positionV relativeFrom="page">
              <wp:posOffset>2396490</wp:posOffset>
            </wp:positionV>
            <wp:extent cx="3617595" cy="3134995"/>
            <wp:effectExtent l="0" t="0" r="9525" b="4445"/>
            <wp:wrapTight wrapText="bothSides">
              <wp:wrapPolygon>
                <wp:start x="0" y="0"/>
                <wp:lineTo x="0" y="21526"/>
                <wp:lineTo x="21475" y="21526"/>
                <wp:lineTo x="21475" y="0"/>
                <wp:lineTo x="0" y="0"/>
              </wp:wrapPolygon>
            </wp:wrapTight>
            <wp:docPr id="3" name="图片 3" descr="ce86a8e940120306f98806715f12c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e86a8e940120306f98806715f12c5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17595" cy="3134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412F5AA">
      <w:pPr>
        <w:spacing w:line="60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drawing>
          <wp:inline distT="0" distB="0" distL="114300" distR="114300">
            <wp:extent cx="5754370" cy="5754370"/>
            <wp:effectExtent l="0" t="0" r="6350" b="6350"/>
            <wp:docPr id="2" name="图片 2" descr="微信图片_202510101134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5101011343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54370" cy="5754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8FE36A">
      <w:pPr>
        <w:jc w:val="center"/>
        <w:rPr>
          <w:rFonts w:hint="default" w:ascii="Times New Roman" w:hAnsi="Times New Roman" w:eastAsia="仿宋" w:cs="Times New Roman"/>
          <w:sz w:val="32"/>
          <w:szCs w:val="32"/>
        </w:rPr>
      </w:pPr>
    </w:p>
    <w:p w14:paraId="33680B0D">
      <w:pPr>
        <w:shd w:val="clear" w:color="auto" w:fill="FFFFFF"/>
        <w:spacing w:line="540" w:lineRule="exact"/>
        <w:jc w:val="left"/>
        <w:rPr>
          <w:rStyle w:val="5"/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</w:pPr>
    </w:p>
    <w:p w14:paraId="71A1E1FE">
      <w:pPr>
        <w:spacing w:line="600" w:lineRule="exact"/>
        <w:jc w:val="left"/>
        <w:rPr>
          <w:rFonts w:hint="default" w:ascii="Times New Roman" w:hAnsi="Times New Roman" w:eastAsia="仿宋" w:cs="Times New Roman"/>
          <w:sz w:val="32"/>
          <w:szCs w:val="32"/>
        </w:rPr>
      </w:pPr>
    </w:p>
    <w:p w14:paraId="4A6D1AE0">
      <w:pPr>
        <w:spacing w:line="600" w:lineRule="exact"/>
        <w:jc w:val="left"/>
        <w:rPr>
          <w:rFonts w:hint="default" w:ascii="Times New Roman" w:hAnsi="Times New Roman" w:eastAsia="仿宋" w:cs="Times New Roman"/>
          <w:sz w:val="32"/>
          <w:szCs w:val="32"/>
        </w:rPr>
      </w:pPr>
    </w:p>
    <w:p w14:paraId="482AC728">
      <w:pPr>
        <w:spacing w:line="600" w:lineRule="exact"/>
        <w:jc w:val="left"/>
        <w:rPr>
          <w:rFonts w:hint="default" w:ascii="Times New Roman" w:hAnsi="Times New Roman" w:eastAsia="仿宋" w:cs="Times New Roman"/>
          <w:sz w:val="32"/>
          <w:szCs w:val="32"/>
        </w:rPr>
      </w:pPr>
    </w:p>
    <w:p w14:paraId="1579E1D3">
      <w:pPr>
        <w:spacing w:line="600" w:lineRule="exact"/>
        <w:jc w:val="left"/>
        <w:rPr>
          <w:rFonts w:hint="default" w:ascii="Times New Roman" w:hAnsi="Times New Roman" w:eastAsia="仿宋" w:cs="Times New Roman"/>
          <w:sz w:val="32"/>
          <w:szCs w:val="32"/>
        </w:rPr>
      </w:pPr>
    </w:p>
    <w:p w14:paraId="60A64E33">
      <w:pPr>
        <w:spacing w:line="600" w:lineRule="exact"/>
        <w:jc w:val="left"/>
        <w:rPr>
          <w:rFonts w:hint="default" w:ascii="Times New Roman" w:hAnsi="Times New Roman" w:eastAsia="仿宋" w:cs="Times New Roman"/>
          <w:sz w:val="32"/>
          <w:szCs w:val="32"/>
        </w:rPr>
      </w:pPr>
    </w:p>
    <w:p w14:paraId="7130BC5B">
      <w:pPr>
        <w:spacing w:line="600" w:lineRule="exact"/>
        <w:jc w:val="left"/>
        <w:rPr>
          <w:rFonts w:hint="default" w:ascii="Times New Roman" w:hAnsi="Times New Roman" w:eastAsia="仿宋" w:cs="Times New Roman"/>
          <w:sz w:val="32"/>
          <w:szCs w:val="32"/>
        </w:rPr>
      </w:pPr>
    </w:p>
    <w:p w14:paraId="6206FA3E">
      <w:pPr>
        <w:spacing w:line="600" w:lineRule="exact"/>
        <w:jc w:val="left"/>
        <w:rPr>
          <w:rFonts w:hint="default" w:ascii="Times New Roman" w:hAnsi="Times New Roman" w:eastAsia="仿宋" w:cs="Times New Roman"/>
          <w:sz w:val="32"/>
          <w:szCs w:val="32"/>
        </w:rPr>
      </w:pPr>
    </w:p>
    <w:p w14:paraId="137D828D">
      <w:pPr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br w:type="page"/>
      </w:r>
    </w:p>
    <w:p w14:paraId="3153778F">
      <w:pPr>
        <w:spacing w:line="60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重庆市2025年初中道德与法治学科优质课大赛</w:t>
      </w:r>
    </w:p>
    <w:p w14:paraId="1EB41E7F">
      <w:pPr>
        <w:spacing w:line="60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参赛选手教学设计提交通道（二维码）</w:t>
      </w:r>
    </w:p>
    <w:p w14:paraId="2724CFB1">
      <w:pPr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942975</wp:posOffset>
            </wp:positionH>
            <wp:positionV relativeFrom="page">
              <wp:posOffset>2485390</wp:posOffset>
            </wp:positionV>
            <wp:extent cx="3716020" cy="3716020"/>
            <wp:effectExtent l="0" t="0" r="2540" b="2540"/>
            <wp:wrapTight wrapText="bothSides">
              <wp:wrapPolygon>
                <wp:start x="0" y="0"/>
                <wp:lineTo x="0" y="21526"/>
                <wp:lineTo x="21526" y="21526"/>
                <wp:lineTo x="21526" y="0"/>
                <wp:lineTo x="0" y="0"/>
              </wp:wrapPolygon>
            </wp:wrapTight>
            <wp:docPr id="4" name="图片 4" descr="a6d3f496ddddd024f1b42557cf10cb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a6d3f496ddddd024f1b42557cf10cb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16020" cy="3716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仿宋" w:cs="Times New Roman"/>
          <w:sz w:val="32"/>
          <w:szCs w:val="32"/>
        </w:rPr>
        <w:br w:type="page"/>
      </w:r>
    </w:p>
    <w:p w14:paraId="44DFA531">
      <w:pPr>
        <w:spacing w:line="60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重庆市2025年初中道德与法治学科优质课大赛</w:t>
      </w:r>
    </w:p>
    <w:p w14:paraId="57596FF2">
      <w:pPr>
        <w:spacing w:line="60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赛课内容安排表</w:t>
      </w:r>
    </w:p>
    <w:p w14:paraId="23D2BEDE">
      <w:pPr>
        <w:jc w:val="center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第1组</w:t>
      </w:r>
    </w:p>
    <w:p w14:paraId="582384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baseline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</w:p>
    <w:tbl>
      <w:tblPr>
        <w:tblStyle w:val="3"/>
        <w:tblW w:w="87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"/>
        <w:gridCol w:w="2533"/>
        <w:gridCol w:w="29"/>
        <w:gridCol w:w="1970"/>
        <w:gridCol w:w="4233"/>
        <w:gridCol w:w="10"/>
      </w:tblGrid>
      <w:tr w14:paraId="25895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1" w:type="dxa"/>
          <w:wAfter w:w="10" w:type="dxa"/>
          <w:trHeight w:val="363" w:hRule="atLeast"/>
          <w:jc w:val="center"/>
        </w:trPr>
        <w:tc>
          <w:tcPr>
            <w:tcW w:w="2533" w:type="dxa"/>
            <w:vAlign w:val="center"/>
          </w:tcPr>
          <w:p w14:paraId="71DF9E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default" w:ascii="Times New Roman" w:hAnsi="Times New Roman" w:eastAsia="方正黑体_GBK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</w:rPr>
              <w:t>区（县）/学校</w:t>
            </w:r>
          </w:p>
        </w:tc>
        <w:tc>
          <w:tcPr>
            <w:tcW w:w="1999" w:type="dxa"/>
            <w:gridSpan w:val="2"/>
            <w:vAlign w:val="center"/>
          </w:tcPr>
          <w:p w14:paraId="428263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default" w:ascii="Times New Roman" w:hAnsi="Times New Roman" w:eastAsia="方正黑体_GBK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</w:rPr>
              <w:t>教材</w:t>
            </w:r>
          </w:p>
        </w:tc>
        <w:tc>
          <w:tcPr>
            <w:tcW w:w="4233" w:type="dxa"/>
            <w:vAlign w:val="center"/>
          </w:tcPr>
          <w:p w14:paraId="14FDF0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default" w:ascii="Times New Roman" w:hAnsi="Times New Roman" w:eastAsia="方正黑体_GBK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</w:rPr>
              <w:t>赛课内容</w:t>
            </w:r>
          </w:p>
        </w:tc>
      </w:tr>
      <w:tr w14:paraId="65E1B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1" w:type="dxa"/>
          <w:wAfter w:w="10" w:type="dxa"/>
          <w:trHeight w:val="363" w:hRule="atLeast"/>
          <w:jc w:val="center"/>
        </w:trPr>
        <w:tc>
          <w:tcPr>
            <w:tcW w:w="2533" w:type="dxa"/>
            <w:vAlign w:val="center"/>
          </w:tcPr>
          <w:p w14:paraId="74EA6A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城口县</w:t>
            </w:r>
          </w:p>
        </w:tc>
        <w:tc>
          <w:tcPr>
            <w:tcW w:w="1999" w:type="dxa"/>
            <w:gridSpan w:val="2"/>
            <w:vAlign w:val="center"/>
          </w:tcPr>
          <w:p w14:paraId="0C8DE0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八年级上册</w:t>
            </w:r>
          </w:p>
        </w:tc>
        <w:tc>
          <w:tcPr>
            <w:tcW w:w="4233" w:type="dxa"/>
            <w:vAlign w:val="center"/>
          </w:tcPr>
          <w:p w14:paraId="6BFEF4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树立法治观念</w:t>
            </w:r>
          </w:p>
        </w:tc>
      </w:tr>
      <w:tr w14:paraId="0812D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1" w:type="dxa"/>
          <w:wAfter w:w="10" w:type="dxa"/>
          <w:trHeight w:val="363" w:hRule="atLeast"/>
          <w:jc w:val="center"/>
        </w:trPr>
        <w:tc>
          <w:tcPr>
            <w:tcW w:w="2533" w:type="dxa"/>
            <w:vAlign w:val="center"/>
          </w:tcPr>
          <w:p w14:paraId="520E35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长寿区</w:t>
            </w:r>
          </w:p>
        </w:tc>
        <w:tc>
          <w:tcPr>
            <w:tcW w:w="1999" w:type="dxa"/>
            <w:gridSpan w:val="2"/>
            <w:vAlign w:val="center"/>
          </w:tcPr>
          <w:p w14:paraId="7F5C56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八年级上册</w:t>
            </w:r>
          </w:p>
        </w:tc>
        <w:tc>
          <w:tcPr>
            <w:tcW w:w="4233" w:type="dxa"/>
            <w:vAlign w:val="center"/>
          </w:tcPr>
          <w:p w14:paraId="1EA888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树立法治观念</w:t>
            </w:r>
          </w:p>
        </w:tc>
      </w:tr>
      <w:tr w14:paraId="647D5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1" w:type="dxa"/>
          <w:wAfter w:w="10" w:type="dxa"/>
          <w:trHeight w:val="363" w:hRule="atLeast"/>
          <w:jc w:val="center"/>
        </w:trPr>
        <w:tc>
          <w:tcPr>
            <w:tcW w:w="2533" w:type="dxa"/>
            <w:vAlign w:val="center"/>
          </w:tcPr>
          <w:p w14:paraId="77583C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南岸区</w:t>
            </w:r>
          </w:p>
        </w:tc>
        <w:tc>
          <w:tcPr>
            <w:tcW w:w="1999" w:type="dxa"/>
            <w:gridSpan w:val="2"/>
            <w:vAlign w:val="center"/>
          </w:tcPr>
          <w:p w14:paraId="645126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八年级上册</w:t>
            </w:r>
          </w:p>
        </w:tc>
        <w:tc>
          <w:tcPr>
            <w:tcW w:w="4233" w:type="dxa"/>
            <w:vAlign w:val="center"/>
          </w:tcPr>
          <w:p w14:paraId="58396C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树立法治观念</w:t>
            </w:r>
          </w:p>
        </w:tc>
      </w:tr>
      <w:tr w14:paraId="53642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1" w:type="dxa"/>
          <w:wAfter w:w="10" w:type="dxa"/>
          <w:trHeight w:val="363" w:hRule="atLeast"/>
          <w:jc w:val="center"/>
        </w:trPr>
        <w:tc>
          <w:tcPr>
            <w:tcW w:w="2533" w:type="dxa"/>
            <w:vAlign w:val="center"/>
          </w:tcPr>
          <w:p w14:paraId="5FE88D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高新技术产业开发区</w:t>
            </w:r>
          </w:p>
        </w:tc>
        <w:tc>
          <w:tcPr>
            <w:tcW w:w="1999" w:type="dxa"/>
            <w:gridSpan w:val="2"/>
            <w:vAlign w:val="center"/>
          </w:tcPr>
          <w:p w14:paraId="2FAB24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八年级上册</w:t>
            </w:r>
          </w:p>
        </w:tc>
        <w:tc>
          <w:tcPr>
            <w:tcW w:w="4233" w:type="dxa"/>
            <w:vAlign w:val="center"/>
          </w:tcPr>
          <w:p w14:paraId="7CC37D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树立法治观念</w:t>
            </w:r>
          </w:p>
        </w:tc>
      </w:tr>
      <w:tr w14:paraId="07714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1" w:type="dxa"/>
          <w:wAfter w:w="10" w:type="dxa"/>
          <w:trHeight w:val="363" w:hRule="atLeast"/>
          <w:jc w:val="center"/>
        </w:trPr>
        <w:tc>
          <w:tcPr>
            <w:tcW w:w="8765" w:type="dxa"/>
            <w:gridSpan w:val="4"/>
            <w:vAlign w:val="center"/>
          </w:tcPr>
          <w:p w14:paraId="66EC20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</w:p>
        </w:tc>
      </w:tr>
      <w:tr w14:paraId="50996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1" w:type="dxa"/>
          <w:wAfter w:w="10" w:type="dxa"/>
          <w:trHeight w:val="363" w:hRule="atLeast"/>
          <w:jc w:val="center"/>
        </w:trPr>
        <w:tc>
          <w:tcPr>
            <w:tcW w:w="2533" w:type="dxa"/>
            <w:vAlign w:val="center"/>
          </w:tcPr>
          <w:p w14:paraId="1E43A1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荣昌区</w:t>
            </w:r>
          </w:p>
        </w:tc>
        <w:tc>
          <w:tcPr>
            <w:tcW w:w="1999" w:type="dxa"/>
            <w:gridSpan w:val="2"/>
            <w:vAlign w:val="center"/>
          </w:tcPr>
          <w:p w14:paraId="72EB26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八年级上册</w:t>
            </w:r>
          </w:p>
        </w:tc>
        <w:tc>
          <w:tcPr>
            <w:tcW w:w="4233" w:type="dxa"/>
            <w:vAlign w:val="center"/>
          </w:tcPr>
          <w:p w14:paraId="370FEB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国家利益高于一切</w:t>
            </w:r>
          </w:p>
        </w:tc>
      </w:tr>
      <w:tr w14:paraId="40C4E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1" w:type="dxa"/>
          <w:wAfter w:w="10" w:type="dxa"/>
          <w:trHeight w:val="363" w:hRule="atLeast"/>
          <w:jc w:val="center"/>
        </w:trPr>
        <w:tc>
          <w:tcPr>
            <w:tcW w:w="2533" w:type="dxa"/>
            <w:vAlign w:val="center"/>
          </w:tcPr>
          <w:p w14:paraId="0F94A0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万州区</w:t>
            </w:r>
          </w:p>
        </w:tc>
        <w:tc>
          <w:tcPr>
            <w:tcW w:w="1999" w:type="dxa"/>
            <w:gridSpan w:val="2"/>
            <w:vAlign w:val="center"/>
          </w:tcPr>
          <w:p w14:paraId="553C88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八年级上册</w:t>
            </w:r>
          </w:p>
        </w:tc>
        <w:tc>
          <w:tcPr>
            <w:tcW w:w="4233" w:type="dxa"/>
            <w:vAlign w:val="center"/>
          </w:tcPr>
          <w:p w14:paraId="0124FA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国家利益高于一切</w:t>
            </w:r>
          </w:p>
        </w:tc>
      </w:tr>
      <w:tr w14:paraId="0518B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1" w:type="dxa"/>
          <w:wAfter w:w="10" w:type="dxa"/>
          <w:trHeight w:val="90" w:hRule="atLeast"/>
          <w:jc w:val="center"/>
        </w:trPr>
        <w:tc>
          <w:tcPr>
            <w:tcW w:w="2533" w:type="dxa"/>
            <w:vAlign w:val="center"/>
          </w:tcPr>
          <w:p w14:paraId="639D60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永川区</w:t>
            </w:r>
          </w:p>
        </w:tc>
        <w:tc>
          <w:tcPr>
            <w:tcW w:w="1999" w:type="dxa"/>
            <w:gridSpan w:val="2"/>
            <w:vAlign w:val="center"/>
          </w:tcPr>
          <w:p w14:paraId="529F99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八年级上册</w:t>
            </w:r>
          </w:p>
        </w:tc>
        <w:tc>
          <w:tcPr>
            <w:tcW w:w="4233" w:type="dxa"/>
            <w:vAlign w:val="center"/>
          </w:tcPr>
          <w:p w14:paraId="7FF83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国家利益高于一切</w:t>
            </w:r>
          </w:p>
        </w:tc>
      </w:tr>
      <w:tr w14:paraId="162D3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1" w:type="dxa"/>
          <w:wAfter w:w="10" w:type="dxa"/>
          <w:trHeight w:val="363" w:hRule="atLeast"/>
          <w:jc w:val="center"/>
        </w:trPr>
        <w:tc>
          <w:tcPr>
            <w:tcW w:w="2533" w:type="dxa"/>
            <w:vAlign w:val="center"/>
          </w:tcPr>
          <w:p w14:paraId="78449B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重庆市巴蜀中学校</w:t>
            </w:r>
          </w:p>
        </w:tc>
        <w:tc>
          <w:tcPr>
            <w:tcW w:w="1999" w:type="dxa"/>
            <w:gridSpan w:val="2"/>
            <w:vAlign w:val="center"/>
          </w:tcPr>
          <w:p w14:paraId="0E2FE3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八年级上册</w:t>
            </w:r>
          </w:p>
        </w:tc>
        <w:tc>
          <w:tcPr>
            <w:tcW w:w="4233" w:type="dxa"/>
            <w:vAlign w:val="center"/>
          </w:tcPr>
          <w:p w14:paraId="0A39E1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国家利益高于一切</w:t>
            </w:r>
          </w:p>
        </w:tc>
      </w:tr>
      <w:tr w14:paraId="7B467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1" w:type="dxa"/>
          <w:wAfter w:w="10" w:type="dxa"/>
          <w:trHeight w:val="363" w:hRule="atLeast"/>
          <w:jc w:val="center"/>
        </w:trPr>
        <w:tc>
          <w:tcPr>
            <w:tcW w:w="8765" w:type="dxa"/>
            <w:gridSpan w:val="4"/>
            <w:vAlign w:val="center"/>
          </w:tcPr>
          <w:p w14:paraId="343D7A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65B9B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1" w:type="dxa"/>
          <w:wAfter w:w="10" w:type="dxa"/>
          <w:trHeight w:val="363" w:hRule="atLeast"/>
          <w:jc w:val="center"/>
        </w:trPr>
        <w:tc>
          <w:tcPr>
            <w:tcW w:w="2533" w:type="dxa"/>
            <w:vAlign w:val="center"/>
          </w:tcPr>
          <w:p w14:paraId="4C22CE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丰都县</w:t>
            </w:r>
          </w:p>
        </w:tc>
        <w:tc>
          <w:tcPr>
            <w:tcW w:w="1999" w:type="dxa"/>
            <w:gridSpan w:val="2"/>
            <w:vAlign w:val="center"/>
          </w:tcPr>
          <w:p w14:paraId="2901C6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八年级上册</w:t>
            </w:r>
          </w:p>
        </w:tc>
        <w:tc>
          <w:tcPr>
            <w:tcW w:w="4233" w:type="dxa"/>
            <w:vAlign w:val="center"/>
          </w:tcPr>
          <w:p w14:paraId="353E11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认识国家安全</w:t>
            </w:r>
          </w:p>
        </w:tc>
      </w:tr>
      <w:tr w14:paraId="66C27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1" w:type="dxa"/>
          <w:wAfter w:w="10" w:type="dxa"/>
          <w:trHeight w:val="363" w:hRule="atLeast"/>
          <w:jc w:val="center"/>
        </w:trPr>
        <w:tc>
          <w:tcPr>
            <w:tcW w:w="2533" w:type="dxa"/>
            <w:vAlign w:val="center"/>
          </w:tcPr>
          <w:p w14:paraId="6DE6E3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黔江区</w:t>
            </w:r>
          </w:p>
        </w:tc>
        <w:tc>
          <w:tcPr>
            <w:tcW w:w="1999" w:type="dxa"/>
            <w:gridSpan w:val="2"/>
            <w:vAlign w:val="center"/>
          </w:tcPr>
          <w:p w14:paraId="21EFC3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八年级上册</w:t>
            </w:r>
          </w:p>
        </w:tc>
        <w:tc>
          <w:tcPr>
            <w:tcW w:w="4233" w:type="dxa"/>
            <w:vAlign w:val="center"/>
          </w:tcPr>
          <w:p w14:paraId="1BEBD1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认识国家安全</w:t>
            </w:r>
          </w:p>
        </w:tc>
      </w:tr>
      <w:tr w14:paraId="4981E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1" w:type="dxa"/>
          <w:wAfter w:w="10" w:type="dxa"/>
          <w:trHeight w:val="363" w:hRule="atLeast"/>
          <w:jc w:val="center"/>
        </w:trPr>
        <w:tc>
          <w:tcPr>
            <w:tcW w:w="2533" w:type="dxa"/>
            <w:vAlign w:val="center"/>
          </w:tcPr>
          <w:p w14:paraId="510228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西南大学附属中学校</w:t>
            </w:r>
          </w:p>
        </w:tc>
        <w:tc>
          <w:tcPr>
            <w:tcW w:w="1999" w:type="dxa"/>
            <w:gridSpan w:val="2"/>
            <w:vAlign w:val="center"/>
          </w:tcPr>
          <w:p w14:paraId="464F10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八年级上册</w:t>
            </w:r>
          </w:p>
        </w:tc>
        <w:tc>
          <w:tcPr>
            <w:tcW w:w="4233" w:type="dxa"/>
            <w:vAlign w:val="center"/>
          </w:tcPr>
          <w:p w14:paraId="29B5F1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认识国家安全</w:t>
            </w:r>
          </w:p>
        </w:tc>
      </w:tr>
      <w:tr w14:paraId="01316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1" w:type="dxa"/>
          <w:wAfter w:w="10" w:type="dxa"/>
          <w:trHeight w:val="363" w:hRule="atLeast"/>
          <w:jc w:val="center"/>
        </w:trPr>
        <w:tc>
          <w:tcPr>
            <w:tcW w:w="2533" w:type="dxa"/>
            <w:vAlign w:val="center"/>
          </w:tcPr>
          <w:p w14:paraId="527605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彭水苗族土家族自治县</w:t>
            </w:r>
          </w:p>
        </w:tc>
        <w:tc>
          <w:tcPr>
            <w:tcW w:w="1999" w:type="dxa"/>
            <w:gridSpan w:val="2"/>
            <w:vAlign w:val="center"/>
          </w:tcPr>
          <w:p w14:paraId="0B0497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八年级上册</w:t>
            </w:r>
          </w:p>
        </w:tc>
        <w:tc>
          <w:tcPr>
            <w:tcW w:w="4233" w:type="dxa"/>
            <w:vAlign w:val="center"/>
          </w:tcPr>
          <w:p w14:paraId="38A497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认识国家安全</w:t>
            </w:r>
          </w:p>
        </w:tc>
      </w:tr>
      <w:tr w14:paraId="41DD0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1" w:type="dxa"/>
          <w:wAfter w:w="10" w:type="dxa"/>
          <w:trHeight w:val="363" w:hRule="atLeast"/>
          <w:jc w:val="center"/>
        </w:trPr>
        <w:tc>
          <w:tcPr>
            <w:tcW w:w="8765" w:type="dxa"/>
            <w:gridSpan w:val="4"/>
            <w:vAlign w:val="center"/>
          </w:tcPr>
          <w:p w14:paraId="36D15E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0F7E4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1" w:type="dxa"/>
          <w:wAfter w:w="10" w:type="dxa"/>
          <w:trHeight w:val="363" w:hRule="atLeast"/>
          <w:jc w:val="center"/>
        </w:trPr>
        <w:tc>
          <w:tcPr>
            <w:tcW w:w="2533" w:type="dxa"/>
            <w:vAlign w:val="center"/>
          </w:tcPr>
          <w:p w14:paraId="01B97C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垫江县</w:t>
            </w:r>
          </w:p>
        </w:tc>
        <w:tc>
          <w:tcPr>
            <w:tcW w:w="1999" w:type="dxa"/>
            <w:gridSpan w:val="2"/>
            <w:vAlign w:val="center"/>
          </w:tcPr>
          <w:p w14:paraId="51FD0F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八年级上册</w:t>
            </w:r>
          </w:p>
        </w:tc>
        <w:tc>
          <w:tcPr>
            <w:tcW w:w="4233" w:type="dxa"/>
            <w:vAlign w:val="center"/>
          </w:tcPr>
          <w:p w14:paraId="3C63CD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维护国家安全</w:t>
            </w:r>
          </w:p>
        </w:tc>
      </w:tr>
      <w:tr w14:paraId="1D637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1" w:type="dxa"/>
          <w:wAfter w:w="10" w:type="dxa"/>
          <w:trHeight w:val="363" w:hRule="atLeast"/>
          <w:jc w:val="center"/>
        </w:trPr>
        <w:tc>
          <w:tcPr>
            <w:tcW w:w="2533" w:type="dxa"/>
            <w:vAlign w:val="center"/>
          </w:tcPr>
          <w:p w14:paraId="0A22B0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江北区</w:t>
            </w:r>
          </w:p>
        </w:tc>
        <w:tc>
          <w:tcPr>
            <w:tcW w:w="1999" w:type="dxa"/>
            <w:gridSpan w:val="2"/>
            <w:vAlign w:val="center"/>
          </w:tcPr>
          <w:p w14:paraId="3BE2FC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八年级上册</w:t>
            </w:r>
          </w:p>
        </w:tc>
        <w:tc>
          <w:tcPr>
            <w:tcW w:w="4233" w:type="dxa"/>
            <w:vAlign w:val="center"/>
          </w:tcPr>
          <w:p w14:paraId="68710F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维护国家安全</w:t>
            </w:r>
          </w:p>
        </w:tc>
      </w:tr>
      <w:tr w14:paraId="5FF03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1" w:type="dxa"/>
          <w:wAfter w:w="10" w:type="dxa"/>
          <w:trHeight w:val="363" w:hRule="atLeast"/>
          <w:jc w:val="center"/>
        </w:trPr>
        <w:tc>
          <w:tcPr>
            <w:tcW w:w="2533" w:type="dxa"/>
            <w:vAlign w:val="center"/>
          </w:tcPr>
          <w:p w14:paraId="237E0A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九龙坡区</w:t>
            </w:r>
          </w:p>
        </w:tc>
        <w:tc>
          <w:tcPr>
            <w:tcW w:w="1999" w:type="dxa"/>
            <w:gridSpan w:val="2"/>
            <w:vAlign w:val="center"/>
          </w:tcPr>
          <w:p w14:paraId="5606F7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八年级上册</w:t>
            </w:r>
          </w:p>
        </w:tc>
        <w:tc>
          <w:tcPr>
            <w:tcW w:w="4233" w:type="dxa"/>
            <w:vAlign w:val="center"/>
          </w:tcPr>
          <w:p w14:paraId="35248F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维护国家安全</w:t>
            </w:r>
          </w:p>
        </w:tc>
      </w:tr>
      <w:tr w14:paraId="4A06C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1" w:type="dxa"/>
          <w:wAfter w:w="10" w:type="dxa"/>
          <w:trHeight w:val="363" w:hRule="atLeast"/>
          <w:jc w:val="center"/>
        </w:trPr>
        <w:tc>
          <w:tcPr>
            <w:tcW w:w="2533" w:type="dxa"/>
            <w:tcBorders>
              <w:bottom w:val="single" w:color="auto" w:sz="4" w:space="0"/>
            </w:tcBorders>
            <w:vAlign w:val="center"/>
          </w:tcPr>
          <w:p w14:paraId="727448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石柱土家族自治县</w:t>
            </w:r>
          </w:p>
        </w:tc>
        <w:tc>
          <w:tcPr>
            <w:tcW w:w="1999" w:type="dxa"/>
            <w:gridSpan w:val="2"/>
            <w:tcBorders>
              <w:bottom w:val="single" w:color="auto" w:sz="4" w:space="0"/>
            </w:tcBorders>
            <w:vAlign w:val="center"/>
          </w:tcPr>
          <w:p w14:paraId="59373C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八年级上册</w:t>
            </w:r>
          </w:p>
        </w:tc>
        <w:tc>
          <w:tcPr>
            <w:tcW w:w="4233" w:type="dxa"/>
            <w:tcBorders>
              <w:bottom w:val="single" w:color="auto" w:sz="4" w:space="0"/>
            </w:tcBorders>
            <w:vAlign w:val="center"/>
          </w:tcPr>
          <w:p w14:paraId="3C2B9D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维护国家安全</w:t>
            </w:r>
          </w:p>
        </w:tc>
      </w:tr>
      <w:tr w14:paraId="63EF4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1" w:type="dxa"/>
          <w:wAfter w:w="10" w:type="dxa"/>
          <w:trHeight w:val="363" w:hRule="atLeast"/>
          <w:jc w:val="center"/>
        </w:trPr>
        <w:tc>
          <w:tcPr>
            <w:tcW w:w="87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7DB130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</w:rPr>
              <w:t>第2组</w:t>
            </w:r>
          </w:p>
        </w:tc>
      </w:tr>
      <w:tr w14:paraId="50CFA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1" w:type="dxa"/>
          <w:wAfter w:w="10" w:type="dxa"/>
          <w:trHeight w:val="233" w:hRule="atLeast"/>
          <w:jc w:val="center"/>
        </w:trPr>
        <w:tc>
          <w:tcPr>
            <w:tcW w:w="2533" w:type="dxa"/>
            <w:tcBorders>
              <w:top w:val="single" w:color="auto" w:sz="4" w:space="0"/>
            </w:tcBorders>
            <w:vAlign w:val="center"/>
          </w:tcPr>
          <w:p w14:paraId="621AA7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default" w:ascii="Times New Roman" w:hAnsi="Times New Roman" w:eastAsia="方正黑体_GBK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</w:rPr>
              <w:t>区县/学校</w:t>
            </w:r>
          </w:p>
        </w:tc>
        <w:tc>
          <w:tcPr>
            <w:tcW w:w="1999" w:type="dxa"/>
            <w:gridSpan w:val="2"/>
            <w:tcBorders>
              <w:top w:val="single" w:color="auto" w:sz="4" w:space="0"/>
            </w:tcBorders>
            <w:vAlign w:val="center"/>
          </w:tcPr>
          <w:p w14:paraId="67A378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default" w:ascii="Times New Roman" w:hAnsi="Times New Roman" w:eastAsia="方正黑体_GBK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</w:rPr>
              <w:t>教材</w:t>
            </w:r>
          </w:p>
        </w:tc>
        <w:tc>
          <w:tcPr>
            <w:tcW w:w="4233" w:type="dxa"/>
            <w:tcBorders>
              <w:top w:val="single" w:color="auto" w:sz="4" w:space="0"/>
            </w:tcBorders>
            <w:vAlign w:val="center"/>
          </w:tcPr>
          <w:p w14:paraId="49FC9A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default" w:ascii="Times New Roman" w:hAnsi="Times New Roman" w:eastAsia="方正黑体_GBK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</w:rPr>
              <w:t>赛课内容</w:t>
            </w:r>
          </w:p>
        </w:tc>
      </w:tr>
      <w:tr w14:paraId="02F93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1" w:type="dxa"/>
          <w:wAfter w:w="10" w:type="dxa"/>
          <w:trHeight w:val="363" w:hRule="atLeast"/>
          <w:jc w:val="center"/>
        </w:trPr>
        <w:tc>
          <w:tcPr>
            <w:tcW w:w="2533" w:type="dxa"/>
            <w:vAlign w:val="center"/>
          </w:tcPr>
          <w:p w14:paraId="3E6E9D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梁平区</w:t>
            </w:r>
          </w:p>
        </w:tc>
        <w:tc>
          <w:tcPr>
            <w:tcW w:w="1999" w:type="dxa"/>
            <w:gridSpan w:val="2"/>
            <w:vAlign w:val="center"/>
          </w:tcPr>
          <w:p w14:paraId="0495F5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八年级上册</w:t>
            </w:r>
          </w:p>
        </w:tc>
        <w:tc>
          <w:tcPr>
            <w:tcW w:w="4233" w:type="dxa"/>
            <w:vAlign w:val="center"/>
          </w:tcPr>
          <w:p w14:paraId="6F0642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党和人民信赖的英雄军队</w:t>
            </w:r>
          </w:p>
        </w:tc>
      </w:tr>
      <w:tr w14:paraId="22480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1" w:type="dxa"/>
          <w:wAfter w:w="10" w:type="dxa"/>
          <w:trHeight w:val="363" w:hRule="atLeast"/>
          <w:jc w:val="center"/>
        </w:trPr>
        <w:tc>
          <w:tcPr>
            <w:tcW w:w="2533" w:type="dxa"/>
            <w:vAlign w:val="center"/>
          </w:tcPr>
          <w:p w14:paraId="2AFAE5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铜梁区</w:t>
            </w:r>
          </w:p>
        </w:tc>
        <w:tc>
          <w:tcPr>
            <w:tcW w:w="1999" w:type="dxa"/>
            <w:gridSpan w:val="2"/>
            <w:vAlign w:val="center"/>
          </w:tcPr>
          <w:p w14:paraId="784380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八年级上册</w:t>
            </w:r>
          </w:p>
        </w:tc>
        <w:tc>
          <w:tcPr>
            <w:tcW w:w="4233" w:type="dxa"/>
            <w:vAlign w:val="center"/>
          </w:tcPr>
          <w:p w14:paraId="25AFE9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党和人民信赖的英雄军队</w:t>
            </w:r>
          </w:p>
        </w:tc>
      </w:tr>
      <w:tr w14:paraId="4DA0D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1" w:type="dxa"/>
          <w:wAfter w:w="10" w:type="dxa"/>
          <w:trHeight w:val="363" w:hRule="atLeast"/>
          <w:jc w:val="center"/>
        </w:trPr>
        <w:tc>
          <w:tcPr>
            <w:tcW w:w="2533" w:type="dxa"/>
            <w:vAlign w:val="center"/>
          </w:tcPr>
          <w:p w14:paraId="598244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北碚区</w:t>
            </w:r>
          </w:p>
        </w:tc>
        <w:tc>
          <w:tcPr>
            <w:tcW w:w="1999" w:type="dxa"/>
            <w:gridSpan w:val="2"/>
            <w:vAlign w:val="center"/>
          </w:tcPr>
          <w:p w14:paraId="2C38CE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八年级上册</w:t>
            </w:r>
          </w:p>
        </w:tc>
        <w:tc>
          <w:tcPr>
            <w:tcW w:w="4233" w:type="dxa"/>
            <w:vAlign w:val="center"/>
          </w:tcPr>
          <w:p w14:paraId="2748A5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党和人民信赖的英雄军队</w:t>
            </w:r>
          </w:p>
        </w:tc>
      </w:tr>
      <w:tr w14:paraId="126FD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1" w:type="dxa"/>
          <w:wAfter w:w="10" w:type="dxa"/>
          <w:trHeight w:val="363" w:hRule="atLeast"/>
          <w:jc w:val="center"/>
        </w:trPr>
        <w:tc>
          <w:tcPr>
            <w:tcW w:w="2533" w:type="dxa"/>
            <w:vAlign w:val="center"/>
          </w:tcPr>
          <w:p w14:paraId="1362FB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FF0000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渝中区</w:t>
            </w:r>
          </w:p>
        </w:tc>
        <w:tc>
          <w:tcPr>
            <w:tcW w:w="1999" w:type="dxa"/>
            <w:gridSpan w:val="2"/>
            <w:vAlign w:val="center"/>
          </w:tcPr>
          <w:p w14:paraId="3BAF59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八年级上册</w:t>
            </w:r>
          </w:p>
        </w:tc>
        <w:tc>
          <w:tcPr>
            <w:tcW w:w="4233" w:type="dxa"/>
            <w:vAlign w:val="center"/>
          </w:tcPr>
          <w:p w14:paraId="49FB54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党和人民信赖的英雄军队</w:t>
            </w:r>
          </w:p>
        </w:tc>
      </w:tr>
      <w:tr w14:paraId="52435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1" w:type="dxa"/>
          <w:wAfter w:w="10" w:type="dxa"/>
          <w:trHeight w:val="363" w:hRule="atLeast"/>
          <w:jc w:val="center"/>
        </w:trPr>
        <w:tc>
          <w:tcPr>
            <w:tcW w:w="8765" w:type="dxa"/>
            <w:gridSpan w:val="4"/>
            <w:vAlign w:val="center"/>
          </w:tcPr>
          <w:p w14:paraId="7E0A76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0B0A3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1" w:type="dxa"/>
          <w:wAfter w:w="10" w:type="dxa"/>
          <w:trHeight w:val="363" w:hRule="atLeast"/>
          <w:jc w:val="center"/>
        </w:trPr>
        <w:tc>
          <w:tcPr>
            <w:tcW w:w="2533" w:type="dxa"/>
            <w:vAlign w:val="center"/>
          </w:tcPr>
          <w:p w14:paraId="68AAC5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潼南区</w:t>
            </w:r>
          </w:p>
        </w:tc>
        <w:tc>
          <w:tcPr>
            <w:tcW w:w="1999" w:type="dxa"/>
            <w:gridSpan w:val="2"/>
            <w:vAlign w:val="center"/>
          </w:tcPr>
          <w:p w14:paraId="3EA729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八年级上册</w:t>
            </w:r>
          </w:p>
        </w:tc>
        <w:tc>
          <w:tcPr>
            <w:tcW w:w="4233" w:type="dxa"/>
            <w:vAlign w:val="center"/>
          </w:tcPr>
          <w:p w14:paraId="2F1B19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全面推进国防和军队现代化</w:t>
            </w:r>
          </w:p>
        </w:tc>
      </w:tr>
      <w:tr w14:paraId="5C294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1" w:type="dxa"/>
          <w:wAfter w:w="10" w:type="dxa"/>
          <w:trHeight w:val="363" w:hRule="atLeast"/>
          <w:jc w:val="center"/>
        </w:trPr>
        <w:tc>
          <w:tcPr>
            <w:tcW w:w="2533" w:type="dxa"/>
            <w:vAlign w:val="center"/>
          </w:tcPr>
          <w:p w14:paraId="14D25B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忠县</w:t>
            </w:r>
          </w:p>
        </w:tc>
        <w:tc>
          <w:tcPr>
            <w:tcW w:w="1999" w:type="dxa"/>
            <w:gridSpan w:val="2"/>
            <w:vAlign w:val="center"/>
          </w:tcPr>
          <w:p w14:paraId="260087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八年级上册</w:t>
            </w:r>
          </w:p>
        </w:tc>
        <w:tc>
          <w:tcPr>
            <w:tcW w:w="4233" w:type="dxa"/>
            <w:vAlign w:val="center"/>
          </w:tcPr>
          <w:p w14:paraId="35E81A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全面推进国防和军队现代化</w:t>
            </w:r>
          </w:p>
        </w:tc>
      </w:tr>
      <w:tr w14:paraId="01D91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1" w:type="dxa"/>
          <w:wAfter w:w="10" w:type="dxa"/>
          <w:trHeight w:val="363" w:hRule="atLeast"/>
          <w:jc w:val="center"/>
        </w:trPr>
        <w:tc>
          <w:tcPr>
            <w:tcW w:w="2533" w:type="dxa"/>
            <w:vAlign w:val="center"/>
          </w:tcPr>
          <w:p w14:paraId="0237DC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万盛经济技术开发区</w:t>
            </w:r>
          </w:p>
        </w:tc>
        <w:tc>
          <w:tcPr>
            <w:tcW w:w="1999" w:type="dxa"/>
            <w:gridSpan w:val="2"/>
            <w:vAlign w:val="center"/>
          </w:tcPr>
          <w:p w14:paraId="23E4C3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八年级上册</w:t>
            </w:r>
          </w:p>
        </w:tc>
        <w:tc>
          <w:tcPr>
            <w:tcW w:w="4233" w:type="dxa"/>
            <w:vAlign w:val="center"/>
          </w:tcPr>
          <w:p w14:paraId="50E89B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全面推进国防和军队现代化</w:t>
            </w:r>
          </w:p>
        </w:tc>
      </w:tr>
      <w:tr w14:paraId="5A642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1" w:type="dxa"/>
          <w:wAfter w:w="10" w:type="dxa"/>
          <w:trHeight w:val="363" w:hRule="atLeast"/>
          <w:jc w:val="center"/>
        </w:trPr>
        <w:tc>
          <w:tcPr>
            <w:tcW w:w="2533" w:type="dxa"/>
            <w:vAlign w:val="center"/>
          </w:tcPr>
          <w:p w14:paraId="558A87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重庆市第一中学校</w:t>
            </w:r>
          </w:p>
        </w:tc>
        <w:tc>
          <w:tcPr>
            <w:tcW w:w="1999" w:type="dxa"/>
            <w:gridSpan w:val="2"/>
            <w:vAlign w:val="center"/>
          </w:tcPr>
          <w:p w14:paraId="0EBB84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八年级上册</w:t>
            </w:r>
          </w:p>
        </w:tc>
        <w:tc>
          <w:tcPr>
            <w:tcW w:w="4233" w:type="dxa"/>
            <w:vAlign w:val="center"/>
          </w:tcPr>
          <w:p w14:paraId="281061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全面推进国防和军队现代化</w:t>
            </w:r>
          </w:p>
        </w:tc>
      </w:tr>
      <w:tr w14:paraId="23F15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573" w:type="dxa"/>
            <w:gridSpan w:val="3"/>
            <w:vAlign w:val="center"/>
          </w:tcPr>
          <w:p w14:paraId="55E1F1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</w:rPr>
            </w:pPr>
          </w:p>
        </w:tc>
        <w:tc>
          <w:tcPr>
            <w:tcW w:w="1970" w:type="dxa"/>
            <w:vAlign w:val="center"/>
          </w:tcPr>
          <w:p w14:paraId="74BB2A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</w:rPr>
            </w:pPr>
          </w:p>
        </w:tc>
        <w:tc>
          <w:tcPr>
            <w:tcW w:w="4243" w:type="dxa"/>
            <w:gridSpan w:val="2"/>
            <w:vAlign w:val="center"/>
          </w:tcPr>
          <w:p w14:paraId="7683F1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</w:rPr>
            </w:pPr>
          </w:p>
        </w:tc>
      </w:tr>
      <w:tr w14:paraId="0133D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573" w:type="dxa"/>
            <w:gridSpan w:val="3"/>
            <w:vAlign w:val="center"/>
          </w:tcPr>
          <w:p w14:paraId="7818AE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巴南区</w:t>
            </w:r>
          </w:p>
        </w:tc>
        <w:tc>
          <w:tcPr>
            <w:tcW w:w="1970" w:type="dxa"/>
            <w:vAlign w:val="center"/>
          </w:tcPr>
          <w:p w14:paraId="799655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八年级下册</w:t>
            </w:r>
          </w:p>
        </w:tc>
        <w:tc>
          <w:tcPr>
            <w:tcW w:w="4243" w:type="dxa"/>
            <w:gridSpan w:val="2"/>
            <w:vAlign w:val="center"/>
          </w:tcPr>
          <w:p w14:paraId="1C5C6D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中央军事委员会的性质和产生</w:t>
            </w:r>
          </w:p>
        </w:tc>
      </w:tr>
      <w:tr w14:paraId="73F54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573" w:type="dxa"/>
            <w:gridSpan w:val="3"/>
            <w:vAlign w:val="center"/>
          </w:tcPr>
          <w:p w14:paraId="3463A7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奉节县</w:t>
            </w:r>
          </w:p>
        </w:tc>
        <w:tc>
          <w:tcPr>
            <w:tcW w:w="1970" w:type="dxa"/>
            <w:vAlign w:val="center"/>
          </w:tcPr>
          <w:p w14:paraId="72AE8C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八年级下册</w:t>
            </w:r>
          </w:p>
        </w:tc>
        <w:tc>
          <w:tcPr>
            <w:tcW w:w="4243" w:type="dxa"/>
            <w:gridSpan w:val="2"/>
            <w:vAlign w:val="center"/>
          </w:tcPr>
          <w:p w14:paraId="523DE7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中央军事委员会的性质和产生</w:t>
            </w:r>
          </w:p>
        </w:tc>
      </w:tr>
      <w:tr w14:paraId="21968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573" w:type="dxa"/>
            <w:gridSpan w:val="3"/>
            <w:vAlign w:val="center"/>
          </w:tcPr>
          <w:p w14:paraId="5CF602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育才中学学校</w:t>
            </w:r>
          </w:p>
        </w:tc>
        <w:tc>
          <w:tcPr>
            <w:tcW w:w="1970" w:type="dxa"/>
            <w:vAlign w:val="center"/>
          </w:tcPr>
          <w:p w14:paraId="08745B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八年级下册</w:t>
            </w:r>
          </w:p>
        </w:tc>
        <w:tc>
          <w:tcPr>
            <w:tcW w:w="4243" w:type="dxa"/>
            <w:gridSpan w:val="2"/>
            <w:vAlign w:val="center"/>
          </w:tcPr>
          <w:p w14:paraId="58EA57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中央军事委员会的性质和产生</w:t>
            </w:r>
          </w:p>
        </w:tc>
      </w:tr>
      <w:tr w14:paraId="44356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573" w:type="dxa"/>
            <w:gridSpan w:val="3"/>
            <w:vAlign w:val="center"/>
          </w:tcPr>
          <w:p w14:paraId="2A3B8A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酉阳土家族苗族自治县</w:t>
            </w:r>
          </w:p>
        </w:tc>
        <w:tc>
          <w:tcPr>
            <w:tcW w:w="1970" w:type="dxa"/>
            <w:vAlign w:val="center"/>
          </w:tcPr>
          <w:p w14:paraId="7B26C6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八年级下册</w:t>
            </w:r>
          </w:p>
        </w:tc>
        <w:tc>
          <w:tcPr>
            <w:tcW w:w="4243" w:type="dxa"/>
            <w:gridSpan w:val="2"/>
            <w:vAlign w:val="center"/>
          </w:tcPr>
          <w:p w14:paraId="528531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中央军事委员会的性质和产生</w:t>
            </w:r>
          </w:p>
        </w:tc>
      </w:tr>
      <w:tr w14:paraId="3104A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8786" w:type="dxa"/>
            <w:gridSpan w:val="6"/>
            <w:vAlign w:val="center"/>
          </w:tcPr>
          <w:p w14:paraId="265C2A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</w:p>
        </w:tc>
      </w:tr>
      <w:tr w14:paraId="6DDF2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573" w:type="dxa"/>
            <w:gridSpan w:val="3"/>
            <w:vAlign w:val="center"/>
          </w:tcPr>
          <w:p w14:paraId="6DFC79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大渡口区</w:t>
            </w:r>
          </w:p>
        </w:tc>
        <w:tc>
          <w:tcPr>
            <w:tcW w:w="1970" w:type="dxa"/>
            <w:vAlign w:val="center"/>
          </w:tcPr>
          <w:p w14:paraId="176812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八年级下册</w:t>
            </w:r>
          </w:p>
        </w:tc>
        <w:tc>
          <w:tcPr>
            <w:tcW w:w="4243" w:type="dxa"/>
            <w:gridSpan w:val="2"/>
            <w:vAlign w:val="center"/>
          </w:tcPr>
          <w:p w14:paraId="616922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中央军事委员会的领导体制和职权</w:t>
            </w:r>
          </w:p>
        </w:tc>
      </w:tr>
      <w:tr w14:paraId="7BC7F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573" w:type="dxa"/>
            <w:gridSpan w:val="3"/>
            <w:vAlign w:val="center"/>
          </w:tcPr>
          <w:p w14:paraId="2BE8D2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南川区</w:t>
            </w:r>
          </w:p>
        </w:tc>
        <w:tc>
          <w:tcPr>
            <w:tcW w:w="1970" w:type="dxa"/>
            <w:vAlign w:val="center"/>
          </w:tcPr>
          <w:p w14:paraId="2EDBE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八年级下册</w:t>
            </w:r>
          </w:p>
        </w:tc>
        <w:tc>
          <w:tcPr>
            <w:tcW w:w="4243" w:type="dxa"/>
            <w:gridSpan w:val="2"/>
            <w:vAlign w:val="center"/>
          </w:tcPr>
          <w:p w14:paraId="7EF695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中央军事委员会的领导体制和职权</w:t>
            </w:r>
          </w:p>
        </w:tc>
      </w:tr>
      <w:tr w14:paraId="1332B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573" w:type="dxa"/>
            <w:gridSpan w:val="3"/>
            <w:vAlign w:val="center"/>
          </w:tcPr>
          <w:p w14:paraId="5939C2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重庆实验外国语学校</w:t>
            </w:r>
          </w:p>
        </w:tc>
        <w:tc>
          <w:tcPr>
            <w:tcW w:w="1970" w:type="dxa"/>
            <w:vAlign w:val="center"/>
          </w:tcPr>
          <w:p w14:paraId="4393DB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八年级下册</w:t>
            </w:r>
          </w:p>
        </w:tc>
        <w:tc>
          <w:tcPr>
            <w:tcW w:w="4243" w:type="dxa"/>
            <w:gridSpan w:val="2"/>
            <w:vAlign w:val="center"/>
          </w:tcPr>
          <w:p w14:paraId="418630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中央军事委员会的领导体制和职权</w:t>
            </w:r>
          </w:p>
        </w:tc>
      </w:tr>
      <w:tr w14:paraId="3D093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573" w:type="dxa"/>
            <w:gridSpan w:val="3"/>
            <w:tcBorders>
              <w:bottom w:val="single" w:color="auto" w:sz="4" w:space="0"/>
            </w:tcBorders>
            <w:vAlign w:val="center"/>
          </w:tcPr>
          <w:p w14:paraId="6A9375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秀山土家族苗族自治县</w:t>
            </w:r>
          </w:p>
        </w:tc>
        <w:tc>
          <w:tcPr>
            <w:tcW w:w="1970" w:type="dxa"/>
            <w:tcBorders>
              <w:bottom w:val="single" w:color="auto" w:sz="4" w:space="0"/>
            </w:tcBorders>
            <w:vAlign w:val="center"/>
          </w:tcPr>
          <w:p w14:paraId="5B620B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八年级下册</w:t>
            </w:r>
          </w:p>
        </w:tc>
        <w:tc>
          <w:tcPr>
            <w:tcW w:w="4243" w:type="dxa"/>
            <w:gridSpan w:val="2"/>
            <w:tcBorders>
              <w:bottom w:val="single" w:color="auto" w:sz="4" w:space="0"/>
            </w:tcBorders>
            <w:vAlign w:val="center"/>
          </w:tcPr>
          <w:p w14:paraId="031694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中央军事委员会的领导体制和职权</w:t>
            </w:r>
          </w:p>
        </w:tc>
      </w:tr>
      <w:tr w14:paraId="3DB01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878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4991BE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第3组</w:t>
            </w:r>
          </w:p>
        </w:tc>
      </w:tr>
      <w:tr w14:paraId="6A0C2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573" w:type="dxa"/>
            <w:gridSpan w:val="3"/>
            <w:tcBorders>
              <w:top w:val="single" w:color="auto" w:sz="4" w:space="0"/>
            </w:tcBorders>
            <w:vAlign w:val="center"/>
          </w:tcPr>
          <w:p w14:paraId="33400F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大足区</w:t>
            </w:r>
          </w:p>
        </w:tc>
        <w:tc>
          <w:tcPr>
            <w:tcW w:w="1970" w:type="dxa"/>
            <w:tcBorders>
              <w:top w:val="single" w:color="auto" w:sz="4" w:space="0"/>
            </w:tcBorders>
            <w:vAlign w:val="center"/>
          </w:tcPr>
          <w:p w14:paraId="218D34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八年级下册</w:t>
            </w:r>
          </w:p>
        </w:tc>
        <w:tc>
          <w:tcPr>
            <w:tcW w:w="4243" w:type="dxa"/>
            <w:gridSpan w:val="2"/>
            <w:tcBorders>
              <w:top w:val="single" w:color="auto" w:sz="4" w:space="0"/>
            </w:tcBorders>
            <w:vAlign w:val="center"/>
          </w:tcPr>
          <w:p w14:paraId="41FF35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党领导人民制定宪法</w:t>
            </w:r>
          </w:p>
        </w:tc>
      </w:tr>
      <w:tr w14:paraId="403E3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573" w:type="dxa"/>
            <w:gridSpan w:val="3"/>
            <w:vAlign w:val="center"/>
          </w:tcPr>
          <w:p w14:paraId="581627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开州区</w:t>
            </w:r>
          </w:p>
        </w:tc>
        <w:tc>
          <w:tcPr>
            <w:tcW w:w="1970" w:type="dxa"/>
            <w:vAlign w:val="center"/>
          </w:tcPr>
          <w:p w14:paraId="44B57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八年级下册</w:t>
            </w:r>
          </w:p>
        </w:tc>
        <w:tc>
          <w:tcPr>
            <w:tcW w:w="4243" w:type="dxa"/>
            <w:gridSpan w:val="2"/>
            <w:vAlign w:val="center"/>
          </w:tcPr>
          <w:p w14:paraId="3626A9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党领导人民制定宪法</w:t>
            </w:r>
          </w:p>
        </w:tc>
      </w:tr>
      <w:tr w14:paraId="405AA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573" w:type="dxa"/>
            <w:gridSpan w:val="3"/>
            <w:vAlign w:val="center"/>
          </w:tcPr>
          <w:p w14:paraId="4A2FCB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綦江区</w:t>
            </w:r>
          </w:p>
        </w:tc>
        <w:tc>
          <w:tcPr>
            <w:tcW w:w="1970" w:type="dxa"/>
            <w:vAlign w:val="center"/>
          </w:tcPr>
          <w:p w14:paraId="7080E2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八年级下册</w:t>
            </w:r>
          </w:p>
        </w:tc>
        <w:tc>
          <w:tcPr>
            <w:tcW w:w="4243" w:type="dxa"/>
            <w:gridSpan w:val="2"/>
            <w:vAlign w:val="center"/>
          </w:tcPr>
          <w:p w14:paraId="7E80D5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党领导人民制定宪法</w:t>
            </w:r>
          </w:p>
        </w:tc>
      </w:tr>
      <w:tr w14:paraId="459E6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573" w:type="dxa"/>
            <w:gridSpan w:val="3"/>
            <w:vAlign w:val="center"/>
          </w:tcPr>
          <w:p w14:paraId="222AE3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沙坪坝区</w:t>
            </w:r>
          </w:p>
        </w:tc>
        <w:tc>
          <w:tcPr>
            <w:tcW w:w="1970" w:type="dxa"/>
            <w:vAlign w:val="center"/>
          </w:tcPr>
          <w:p w14:paraId="324FD2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八年级下册</w:t>
            </w:r>
          </w:p>
        </w:tc>
        <w:tc>
          <w:tcPr>
            <w:tcW w:w="4243" w:type="dxa"/>
            <w:gridSpan w:val="2"/>
            <w:vAlign w:val="center"/>
          </w:tcPr>
          <w:p w14:paraId="13405C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党领导人民制定宪法</w:t>
            </w:r>
          </w:p>
        </w:tc>
      </w:tr>
      <w:tr w14:paraId="66DE1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8786" w:type="dxa"/>
            <w:gridSpan w:val="6"/>
            <w:vAlign w:val="center"/>
          </w:tcPr>
          <w:p w14:paraId="1D050C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240CF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573" w:type="dxa"/>
            <w:gridSpan w:val="3"/>
            <w:vAlign w:val="center"/>
          </w:tcPr>
          <w:p w14:paraId="72BFA6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武隆区</w:t>
            </w:r>
          </w:p>
        </w:tc>
        <w:tc>
          <w:tcPr>
            <w:tcW w:w="1970" w:type="dxa"/>
            <w:vAlign w:val="center"/>
          </w:tcPr>
          <w:p w14:paraId="623193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八年级下册</w:t>
            </w:r>
          </w:p>
        </w:tc>
        <w:tc>
          <w:tcPr>
            <w:tcW w:w="4243" w:type="dxa"/>
            <w:gridSpan w:val="2"/>
            <w:vAlign w:val="center"/>
          </w:tcPr>
          <w:p w14:paraId="57D682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全面依法治国的指导思想</w:t>
            </w:r>
          </w:p>
        </w:tc>
      </w:tr>
      <w:tr w14:paraId="2B96B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573" w:type="dxa"/>
            <w:gridSpan w:val="3"/>
            <w:vAlign w:val="center"/>
          </w:tcPr>
          <w:p w14:paraId="389D8F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云阳县</w:t>
            </w:r>
          </w:p>
        </w:tc>
        <w:tc>
          <w:tcPr>
            <w:tcW w:w="1970" w:type="dxa"/>
            <w:vAlign w:val="center"/>
          </w:tcPr>
          <w:p w14:paraId="785CF3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八年级下册</w:t>
            </w:r>
          </w:p>
        </w:tc>
        <w:tc>
          <w:tcPr>
            <w:tcW w:w="4243" w:type="dxa"/>
            <w:gridSpan w:val="2"/>
            <w:vAlign w:val="center"/>
          </w:tcPr>
          <w:p w14:paraId="5B172D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全面依法治国的指导思想</w:t>
            </w:r>
          </w:p>
        </w:tc>
      </w:tr>
      <w:tr w14:paraId="5B82A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573" w:type="dxa"/>
            <w:gridSpan w:val="3"/>
            <w:vAlign w:val="center"/>
          </w:tcPr>
          <w:p w14:paraId="487B70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璧山区</w:t>
            </w:r>
          </w:p>
        </w:tc>
        <w:tc>
          <w:tcPr>
            <w:tcW w:w="1970" w:type="dxa"/>
            <w:vAlign w:val="center"/>
          </w:tcPr>
          <w:p w14:paraId="29B189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八年级下册</w:t>
            </w:r>
          </w:p>
        </w:tc>
        <w:tc>
          <w:tcPr>
            <w:tcW w:w="4243" w:type="dxa"/>
            <w:gridSpan w:val="2"/>
            <w:vAlign w:val="center"/>
          </w:tcPr>
          <w:p w14:paraId="07D5E2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全面依法治国的指导思想</w:t>
            </w:r>
          </w:p>
        </w:tc>
      </w:tr>
      <w:tr w14:paraId="34BEF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573" w:type="dxa"/>
            <w:gridSpan w:val="3"/>
            <w:vAlign w:val="center"/>
          </w:tcPr>
          <w:p w14:paraId="7089CE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重庆市南开中学校</w:t>
            </w:r>
          </w:p>
        </w:tc>
        <w:tc>
          <w:tcPr>
            <w:tcW w:w="1970" w:type="dxa"/>
            <w:vAlign w:val="center"/>
          </w:tcPr>
          <w:p w14:paraId="71853F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八年级下册</w:t>
            </w:r>
          </w:p>
        </w:tc>
        <w:tc>
          <w:tcPr>
            <w:tcW w:w="4243" w:type="dxa"/>
            <w:gridSpan w:val="2"/>
            <w:vAlign w:val="center"/>
          </w:tcPr>
          <w:p w14:paraId="32F847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全面依法治国的指导思想</w:t>
            </w:r>
          </w:p>
        </w:tc>
      </w:tr>
      <w:tr w14:paraId="5F8F3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8786" w:type="dxa"/>
            <w:gridSpan w:val="6"/>
            <w:vAlign w:val="center"/>
          </w:tcPr>
          <w:p w14:paraId="3F5AC2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55019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573" w:type="dxa"/>
            <w:gridSpan w:val="3"/>
            <w:vAlign w:val="center"/>
          </w:tcPr>
          <w:p w14:paraId="30B5A0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涪陵区</w:t>
            </w:r>
          </w:p>
        </w:tc>
        <w:tc>
          <w:tcPr>
            <w:tcW w:w="1970" w:type="dxa"/>
            <w:vAlign w:val="center"/>
          </w:tcPr>
          <w:p w14:paraId="1C9A91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八年级下册</w:t>
            </w:r>
          </w:p>
        </w:tc>
        <w:tc>
          <w:tcPr>
            <w:tcW w:w="4243" w:type="dxa"/>
            <w:gridSpan w:val="2"/>
            <w:vAlign w:val="center"/>
          </w:tcPr>
          <w:p w14:paraId="5F4F06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法治与改革相互促进</w:t>
            </w:r>
          </w:p>
        </w:tc>
      </w:tr>
      <w:tr w14:paraId="0225F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573" w:type="dxa"/>
            <w:gridSpan w:val="3"/>
            <w:vAlign w:val="center"/>
          </w:tcPr>
          <w:p w14:paraId="150ACC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巫山县</w:t>
            </w:r>
          </w:p>
        </w:tc>
        <w:tc>
          <w:tcPr>
            <w:tcW w:w="1970" w:type="dxa"/>
            <w:vAlign w:val="center"/>
          </w:tcPr>
          <w:p w14:paraId="0A4B17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八年级下册</w:t>
            </w:r>
          </w:p>
        </w:tc>
        <w:tc>
          <w:tcPr>
            <w:tcW w:w="4243" w:type="dxa"/>
            <w:gridSpan w:val="2"/>
            <w:vAlign w:val="center"/>
          </w:tcPr>
          <w:p w14:paraId="3001CC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法治与改革相互促进</w:t>
            </w:r>
          </w:p>
        </w:tc>
      </w:tr>
      <w:tr w14:paraId="75FDF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573" w:type="dxa"/>
            <w:gridSpan w:val="3"/>
            <w:vAlign w:val="center"/>
          </w:tcPr>
          <w:p w14:paraId="4561C6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两江新区</w:t>
            </w:r>
          </w:p>
        </w:tc>
        <w:tc>
          <w:tcPr>
            <w:tcW w:w="1970" w:type="dxa"/>
            <w:vAlign w:val="center"/>
          </w:tcPr>
          <w:p w14:paraId="3B5E3A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八年级下册</w:t>
            </w:r>
          </w:p>
        </w:tc>
        <w:tc>
          <w:tcPr>
            <w:tcW w:w="4243" w:type="dxa"/>
            <w:gridSpan w:val="2"/>
            <w:vAlign w:val="center"/>
          </w:tcPr>
          <w:p w14:paraId="2EAF38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法治与改革相互促进</w:t>
            </w:r>
          </w:p>
        </w:tc>
      </w:tr>
      <w:tr w14:paraId="69EB6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573" w:type="dxa"/>
            <w:gridSpan w:val="3"/>
            <w:vAlign w:val="center"/>
          </w:tcPr>
          <w:p w14:paraId="7A36F8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重庆市第八中学校</w:t>
            </w:r>
          </w:p>
        </w:tc>
        <w:tc>
          <w:tcPr>
            <w:tcW w:w="1970" w:type="dxa"/>
            <w:vAlign w:val="center"/>
          </w:tcPr>
          <w:p w14:paraId="5F4BE9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八年级下册</w:t>
            </w:r>
          </w:p>
        </w:tc>
        <w:tc>
          <w:tcPr>
            <w:tcW w:w="4243" w:type="dxa"/>
            <w:gridSpan w:val="2"/>
            <w:vAlign w:val="center"/>
          </w:tcPr>
          <w:p w14:paraId="487866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法治与改革相互促进</w:t>
            </w:r>
          </w:p>
        </w:tc>
      </w:tr>
      <w:tr w14:paraId="60C76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8786" w:type="dxa"/>
            <w:gridSpan w:val="6"/>
            <w:vAlign w:val="center"/>
          </w:tcPr>
          <w:p w14:paraId="1B400A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</w:p>
        </w:tc>
      </w:tr>
      <w:tr w14:paraId="30BE3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573" w:type="dxa"/>
            <w:gridSpan w:val="3"/>
            <w:vAlign w:val="center"/>
          </w:tcPr>
          <w:p w14:paraId="3C5D5E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巫溪县</w:t>
            </w:r>
          </w:p>
        </w:tc>
        <w:tc>
          <w:tcPr>
            <w:tcW w:w="1970" w:type="dxa"/>
            <w:vAlign w:val="center"/>
          </w:tcPr>
          <w:p w14:paraId="69B19C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八年级下册</w:t>
            </w:r>
          </w:p>
        </w:tc>
        <w:tc>
          <w:tcPr>
            <w:tcW w:w="4243" w:type="dxa"/>
            <w:gridSpan w:val="2"/>
            <w:vAlign w:val="center"/>
          </w:tcPr>
          <w:p w14:paraId="03E0A0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法治与德治相得益彰</w:t>
            </w:r>
          </w:p>
        </w:tc>
      </w:tr>
      <w:tr w14:paraId="5EB76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573" w:type="dxa"/>
            <w:gridSpan w:val="3"/>
            <w:vAlign w:val="center"/>
          </w:tcPr>
          <w:p w14:paraId="6F14E0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江津区</w:t>
            </w:r>
          </w:p>
        </w:tc>
        <w:tc>
          <w:tcPr>
            <w:tcW w:w="1970" w:type="dxa"/>
            <w:vAlign w:val="center"/>
          </w:tcPr>
          <w:p w14:paraId="7E6835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八年级下册</w:t>
            </w:r>
          </w:p>
        </w:tc>
        <w:tc>
          <w:tcPr>
            <w:tcW w:w="4243" w:type="dxa"/>
            <w:gridSpan w:val="2"/>
            <w:vAlign w:val="center"/>
          </w:tcPr>
          <w:p w14:paraId="790D1B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法治与德治相得益彰</w:t>
            </w:r>
          </w:p>
        </w:tc>
      </w:tr>
      <w:tr w14:paraId="55695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573" w:type="dxa"/>
            <w:gridSpan w:val="3"/>
            <w:vAlign w:val="center"/>
          </w:tcPr>
          <w:p w14:paraId="22203A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合川区</w:t>
            </w:r>
          </w:p>
        </w:tc>
        <w:tc>
          <w:tcPr>
            <w:tcW w:w="1970" w:type="dxa"/>
            <w:vAlign w:val="center"/>
          </w:tcPr>
          <w:p w14:paraId="3EFC63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八年级下册</w:t>
            </w:r>
          </w:p>
        </w:tc>
        <w:tc>
          <w:tcPr>
            <w:tcW w:w="4243" w:type="dxa"/>
            <w:gridSpan w:val="2"/>
            <w:vAlign w:val="center"/>
          </w:tcPr>
          <w:p w14:paraId="731875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法治与德治相得益彰</w:t>
            </w:r>
          </w:p>
        </w:tc>
      </w:tr>
      <w:tr w14:paraId="7D91B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573" w:type="dxa"/>
            <w:gridSpan w:val="3"/>
            <w:vAlign w:val="center"/>
          </w:tcPr>
          <w:p w14:paraId="019E31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渝北区</w:t>
            </w:r>
          </w:p>
        </w:tc>
        <w:tc>
          <w:tcPr>
            <w:tcW w:w="1970" w:type="dxa"/>
            <w:vAlign w:val="center"/>
          </w:tcPr>
          <w:p w14:paraId="132206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八年级下册</w:t>
            </w:r>
          </w:p>
        </w:tc>
        <w:tc>
          <w:tcPr>
            <w:tcW w:w="4243" w:type="dxa"/>
            <w:gridSpan w:val="2"/>
            <w:vAlign w:val="center"/>
          </w:tcPr>
          <w:p w14:paraId="769509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法治与德治相得益彰</w:t>
            </w:r>
          </w:p>
        </w:tc>
      </w:tr>
      <w:tr w14:paraId="6C967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573" w:type="dxa"/>
            <w:gridSpan w:val="3"/>
            <w:vAlign w:val="center"/>
          </w:tcPr>
          <w:p w14:paraId="193F80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重庆市巴蜀中学校（张家花园校区）</w:t>
            </w:r>
          </w:p>
        </w:tc>
        <w:tc>
          <w:tcPr>
            <w:tcW w:w="1970" w:type="dxa"/>
          </w:tcPr>
          <w:p w14:paraId="2A2974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八年级下册</w:t>
            </w:r>
          </w:p>
        </w:tc>
        <w:tc>
          <w:tcPr>
            <w:tcW w:w="4243" w:type="dxa"/>
            <w:gridSpan w:val="2"/>
          </w:tcPr>
          <w:p w14:paraId="04627C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法治与德治相得益彰</w:t>
            </w:r>
          </w:p>
        </w:tc>
      </w:tr>
    </w:tbl>
    <w:p w14:paraId="6ABFC59E">
      <w:pPr>
        <w:spacing w:line="60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重庆市2025年初中道德与法治学科优质课大赛</w:t>
      </w:r>
    </w:p>
    <w:p w14:paraId="53220E88">
      <w:pPr>
        <w:spacing w:line="60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观摩教师登记表（二维码）</w:t>
      </w:r>
    </w:p>
    <w:p w14:paraId="15F5A115">
      <w:pPr>
        <w:rPr>
          <w:rFonts w:hint="default" w:ascii="Times New Roman" w:hAnsi="Times New Roman" w:eastAsia="楷体_GB2312" w:cs="Times New Roman"/>
          <w:b/>
          <w:szCs w:val="21"/>
          <w:shd w:val="clear" w:color="auto" w:fill="FF0000"/>
        </w:rPr>
      </w:pPr>
    </w:p>
    <w:p w14:paraId="243CF142">
      <w:pPr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1336040</wp:posOffset>
            </wp:positionH>
            <wp:positionV relativeFrom="page">
              <wp:posOffset>2314575</wp:posOffset>
            </wp:positionV>
            <wp:extent cx="2286000" cy="2286000"/>
            <wp:effectExtent l="0" t="0" r="0" b="0"/>
            <wp:wrapTight wrapText="bothSides">
              <wp:wrapPolygon>
                <wp:start x="0" y="0"/>
                <wp:lineTo x="0" y="21456"/>
                <wp:lineTo x="21456" y="21456"/>
                <wp:lineTo x="21456" y="0"/>
                <wp:lineTo x="0" y="0"/>
              </wp:wrapPolygon>
            </wp:wrapTight>
            <wp:docPr id="5" name="图片 5" descr="C:\Users\Administrator\Documents\WeChat Files\liuyi2865\FileStorage\Temp\fbdf5ee78291b1fb66ab0ec6511402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\Users\Administrator\Documents\WeChat Files\liuyi2865\FileStorage\Temp\fbdf5ee78291b1fb66ab0ec6511402c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仿宋" w:cs="Times New Roman"/>
          <w:sz w:val="32"/>
          <w:szCs w:val="32"/>
        </w:rPr>
        <w:br w:type="page"/>
      </w:r>
    </w:p>
    <w:p w14:paraId="598FB08E">
      <w:pPr>
        <w:spacing w:line="60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重庆市2025年初中道德与法治学科优质课大赛</w:t>
      </w:r>
    </w:p>
    <w:p w14:paraId="01408C84">
      <w:pPr>
        <w:spacing w:line="60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课时教学设计模板</w:t>
      </w:r>
    </w:p>
    <w:p w14:paraId="4096CFDE">
      <w:pPr>
        <w:spacing w:line="60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</w:p>
    <w:tbl>
      <w:tblPr>
        <w:tblStyle w:val="3"/>
        <w:tblW w:w="97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3"/>
        <w:gridCol w:w="8743"/>
      </w:tblGrid>
      <w:tr w14:paraId="5749E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776" w:type="dxa"/>
            <w:gridSpan w:val="2"/>
            <w:vAlign w:val="center"/>
          </w:tcPr>
          <w:p w14:paraId="1653C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30"/>
                <w:szCs w:val="30"/>
              </w:rPr>
              <w:t>课时教学设计</w:t>
            </w:r>
          </w:p>
        </w:tc>
      </w:tr>
      <w:tr w14:paraId="392E2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033" w:type="dxa"/>
            <w:vAlign w:val="center"/>
          </w:tcPr>
          <w:p w14:paraId="518EDE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</w:rPr>
              <w:t>课题</w:t>
            </w:r>
          </w:p>
        </w:tc>
        <w:tc>
          <w:tcPr>
            <w:tcW w:w="8743" w:type="dxa"/>
            <w:vAlign w:val="center"/>
          </w:tcPr>
          <w:p w14:paraId="60937C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/>
                <w:sz w:val="24"/>
              </w:rPr>
            </w:pPr>
          </w:p>
        </w:tc>
      </w:tr>
      <w:tr w14:paraId="1F75A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776" w:type="dxa"/>
            <w:gridSpan w:val="2"/>
            <w:vAlign w:val="center"/>
          </w:tcPr>
          <w:p w14:paraId="116A79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</w:rPr>
              <w:t>1.内容分析：</w:t>
            </w:r>
            <w:r>
              <w:rPr>
                <w:rFonts w:hint="default" w:ascii="Times New Roman" w:hAnsi="Times New Roman" w:eastAsia="方正仿宋_GBK" w:cs="Times New Roman"/>
              </w:rPr>
              <w:t>本课时教学内容分析，在单元中的位置，核心内容对发展学生核心素养的功能价值分析，蕴含的正确价值观念，已学内容与本课内容的关联。可用结构图呈现。</w:t>
            </w:r>
          </w:p>
        </w:tc>
      </w:tr>
      <w:tr w14:paraId="52877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776" w:type="dxa"/>
            <w:gridSpan w:val="2"/>
            <w:vAlign w:val="center"/>
          </w:tcPr>
          <w:p w14:paraId="0DA190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</w:rPr>
              <w:t>2.学情分析：</w:t>
            </w:r>
            <w:r>
              <w:rPr>
                <w:rFonts w:hint="default" w:ascii="Times New Roman" w:hAnsi="Times New Roman" w:eastAsia="方正仿宋_GBK" w:cs="Times New Roman"/>
              </w:rPr>
              <w:t>学生与本课时学习相关的学习经验、知识储备、学科能力水平、学习兴趣的分析，学习发展需求、发展路径分析，学习本课时可能遇到的困难。</w:t>
            </w:r>
          </w:p>
        </w:tc>
      </w:tr>
      <w:tr w14:paraId="0882C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776" w:type="dxa"/>
            <w:gridSpan w:val="2"/>
            <w:vAlign w:val="center"/>
          </w:tcPr>
          <w:p w14:paraId="29D545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</w:rPr>
              <w:t>3.目标确定</w:t>
            </w:r>
            <w:r>
              <w:rPr>
                <w:rFonts w:hint="default" w:ascii="Times New Roman" w:hAnsi="Times New Roman" w:eastAsia="方正仿宋_GBK" w:cs="Times New Roman"/>
              </w:rPr>
              <w:t>：根据课程标准和学生实际，指向学科核心内容、思想方法、核心素养的发展进阶，描述学生经历学习过程后应达成的目标和应能够做到的事情。</w:t>
            </w:r>
            <w:r>
              <w:rPr>
                <w:rFonts w:hint="default" w:ascii="Times New Roman" w:hAnsi="Times New Roman" w:eastAsia="方正仿宋_GBK" w:cs="Times New Roman"/>
                <w:szCs w:val="21"/>
              </w:rPr>
              <w:t>可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用“通过（过程），获得（结果），形成/能完成（表现）的语法结构分条叙写目标”。</w:t>
            </w:r>
          </w:p>
        </w:tc>
      </w:tr>
      <w:tr w14:paraId="5F378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9776" w:type="dxa"/>
            <w:gridSpan w:val="2"/>
            <w:vAlign w:val="center"/>
          </w:tcPr>
          <w:p w14:paraId="1A7316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b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</w:rPr>
              <w:t>4.重点和难点：</w:t>
            </w:r>
            <w:r>
              <w:rPr>
                <w:rFonts w:hint="default" w:ascii="Times New Roman" w:hAnsi="Times New Roman" w:eastAsia="方正仿宋_GBK" w:cs="Times New Roman"/>
              </w:rPr>
              <w:t>根据学科课程标准和学生实际，指向学科核心内容、思想方法、核心素养的落实，明确重点和难点。</w:t>
            </w:r>
          </w:p>
        </w:tc>
      </w:tr>
      <w:tr w14:paraId="33AA8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776" w:type="dxa"/>
            <w:gridSpan w:val="2"/>
            <w:vAlign w:val="center"/>
          </w:tcPr>
          <w:p w14:paraId="3F4FB5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b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</w:rPr>
              <w:t>5.教法和学法：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教师教学方法多样、灵活，与教学内容有机结合，注重启发式教学；学生进行自主、合作、探究学习；现代信息技术与教学深度融合。</w:t>
            </w:r>
          </w:p>
        </w:tc>
      </w:tr>
      <w:tr w14:paraId="543B4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776" w:type="dxa"/>
            <w:gridSpan w:val="2"/>
            <w:vAlign w:val="center"/>
          </w:tcPr>
          <w:p w14:paraId="5F815F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b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</w:rPr>
              <w:t>6.评价设计</w:t>
            </w:r>
            <w:r>
              <w:rPr>
                <w:rFonts w:hint="default" w:ascii="Times New Roman" w:hAnsi="Times New Roman" w:eastAsia="方正仿宋_GBK" w:cs="Times New Roman"/>
              </w:rPr>
              <w:t>：基于课程标准，体现教学评一致性和一体化，评价贯穿课前、课中、课后。</w:t>
            </w:r>
          </w:p>
        </w:tc>
      </w:tr>
      <w:tr w14:paraId="5BA0A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776" w:type="dxa"/>
            <w:gridSpan w:val="2"/>
            <w:vAlign w:val="center"/>
          </w:tcPr>
          <w:p w14:paraId="435A7D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b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</w:rPr>
              <w:t>7.学习活动设计</w:t>
            </w:r>
          </w:p>
          <w:tbl>
            <w:tblPr>
              <w:tblStyle w:val="3"/>
              <w:tblW w:w="9649" w:type="dxa"/>
              <w:tblInd w:w="7" w:type="dxa"/>
              <w:tblBorders>
                <w:top w:val="dotDash" w:color="auto" w:sz="4" w:space="0"/>
                <w:left w:val="dotDash" w:color="auto" w:sz="4" w:space="0"/>
                <w:bottom w:val="dotDash" w:color="auto" w:sz="4" w:space="0"/>
                <w:right w:val="dotDash" w:color="auto" w:sz="4" w:space="0"/>
                <w:insideH w:val="dotDash" w:color="auto" w:sz="4" w:space="0"/>
                <w:insideV w:val="dotDash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427"/>
              <w:gridCol w:w="64"/>
              <w:gridCol w:w="5158"/>
            </w:tblGrid>
            <w:tr w14:paraId="42734633">
              <w:tblPrEx>
                <w:tblBorders>
                  <w:top w:val="dotDash" w:color="auto" w:sz="4" w:space="0"/>
                  <w:left w:val="dotDash" w:color="auto" w:sz="4" w:space="0"/>
                  <w:bottom w:val="dotDash" w:color="auto" w:sz="4" w:space="0"/>
                  <w:right w:val="dotDash" w:color="auto" w:sz="4" w:space="0"/>
                  <w:insideH w:val="dotDash" w:color="auto" w:sz="4" w:space="0"/>
                  <w:insideV w:val="dotDash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3" w:hRule="atLeast"/>
              </w:trPr>
              <w:tc>
                <w:tcPr>
                  <w:tcW w:w="4427" w:type="dxa"/>
                </w:tcPr>
                <w:p w14:paraId="0B1E67DC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60" w:lineRule="exact"/>
                    <w:jc w:val="left"/>
                    <w:textAlignment w:val="baseline"/>
                    <w:rPr>
                      <w:rFonts w:hint="default" w:ascii="Times New Roman" w:hAnsi="Times New Roman" w:eastAsia="方正仿宋_GBK" w:cs="Times New Roman"/>
                      <w:b/>
                      <w:sz w:val="24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b/>
                      <w:sz w:val="24"/>
                    </w:rPr>
                    <w:t>教师活动</w:t>
                  </w:r>
                </w:p>
              </w:tc>
              <w:tc>
                <w:tcPr>
                  <w:tcW w:w="5222" w:type="dxa"/>
                  <w:gridSpan w:val="2"/>
                </w:tcPr>
                <w:p w14:paraId="2AFBCECD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60" w:lineRule="exact"/>
                    <w:jc w:val="left"/>
                    <w:textAlignment w:val="baseline"/>
                    <w:rPr>
                      <w:rFonts w:hint="default" w:ascii="Times New Roman" w:hAnsi="Times New Roman" w:eastAsia="方正仿宋_GBK" w:cs="Times New Roman"/>
                      <w:b/>
                      <w:sz w:val="24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b/>
                      <w:sz w:val="24"/>
                    </w:rPr>
                    <w:t>学生活动</w:t>
                  </w:r>
                </w:p>
              </w:tc>
            </w:tr>
            <w:tr w14:paraId="2EB0731F">
              <w:tblPrEx>
                <w:tblBorders>
                  <w:top w:val="dotDash" w:color="auto" w:sz="4" w:space="0"/>
                  <w:left w:val="dotDash" w:color="auto" w:sz="4" w:space="0"/>
                  <w:bottom w:val="dotDash" w:color="auto" w:sz="4" w:space="0"/>
                  <w:right w:val="dotDash" w:color="auto" w:sz="4" w:space="0"/>
                  <w:insideH w:val="dotDash" w:color="auto" w:sz="4" w:space="0"/>
                  <w:insideV w:val="dotDash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5" w:hRule="atLeast"/>
              </w:trPr>
              <w:tc>
                <w:tcPr>
                  <w:tcW w:w="9649" w:type="dxa"/>
                  <w:gridSpan w:val="3"/>
                </w:tcPr>
                <w:p w14:paraId="0CBBBA53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60" w:lineRule="exact"/>
                    <w:jc w:val="left"/>
                    <w:textAlignment w:val="baseline"/>
                    <w:rPr>
                      <w:rFonts w:hint="default" w:ascii="Times New Roman" w:hAnsi="Times New Roman" w:eastAsia="方正仿宋_GBK" w:cs="Times New Roman"/>
                      <w:b/>
                      <w:sz w:val="24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b/>
                      <w:sz w:val="24"/>
                    </w:rPr>
                    <w:t>环节一：</w:t>
                  </w:r>
                  <w:r>
                    <w:rPr>
                      <w:rFonts w:hint="default" w:ascii="Times New Roman" w:hAnsi="Times New Roman" w:eastAsia="方正仿宋_GBK" w:cs="Times New Roman"/>
                    </w:rPr>
                    <w:t>（根据课堂教与学的程序安排）</w:t>
                  </w:r>
                </w:p>
              </w:tc>
            </w:tr>
            <w:tr w14:paraId="1EC5A3F3">
              <w:tblPrEx>
                <w:tblBorders>
                  <w:top w:val="dotDash" w:color="auto" w:sz="4" w:space="0"/>
                  <w:left w:val="dotDash" w:color="auto" w:sz="4" w:space="0"/>
                  <w:bottom w:val="dotDash" w:color="auto" w:sz="4" w:space="0"/>
                  <w:right w:val="dotDash" w:color="auto" w:sz="4" w:space="0"/>
                  <w:insideH w:val="dotDash" w:color="auto" w:sz="4" w:space="0"/>
                  <w:insideV w:val="dotDash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55" w:hRule="atLeast"/>
              </w:trPr>
              <w:tc>
                <w:tcPr>
                  <w:tcW w:w="4427" w:type="dxa"/>
                </w:tcPr>
                <w:p w14:paraId="280942A3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60" w:lineRule="exact"/>
                    <w:jc w:val="left"/>
                    <w:textAlignment w:val="baseline"/>
                    <w:rPr>
                      <w:rFonts w:hint="default" w:ascii="Times New Roman" w:hAnsi="Times New Roman" w:eastAsia="方正仿宋_GBK" w:cs="Times New Roman"/>
                      <w:b/>
                      <w:sz w:val="24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b/>
                      <w:sz w:val="24"/>
                    </w:rPr>
                    <w:t>教师活动1</w:t>
                  </w:r>
                </w:p>
                <w:p w14:paraId="7CD577EA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60" w:lineRule="exact"/>
                    <w:jc w:val="left"/>
                    <w:textAlignment w:val="baseline"/>
                    <w:rPr>
                      <w:rFonts w:hint="default" w:ascii="Times New Roman" w:hAnsi="Times New Roman" w:eastAsia="方正仿宋_GBK" w:cs="Times New Roman"/>
                      <w:sz w:val="24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</w:rPr>
                    <w:t>（设计每个教学环节时，教师要呈现情境，提出驱动性问题及学习任务类型；对应学生活动，示范指导学科思想方法，关注课堂生成，纠正思维错误，恰当运用评价方式与评价工具开展持续评价，促进学习。下同）</w:t>
                  </w:r>
                </w:p>
              </w:tc>
              <w:tc>
                <w:tcPr>
                  <w:tcW w:w="5222" w:type="dxa"/>
                  <w:gridSpan w:val="2"/>
                </w:tcPr>
                <w:p w14:paraId="3916726A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60" w:lineRule="exact"/>
                    <w:jc w:val="left"/>
                    <w:textAlignment w:val="baseline"/>
                    <w:rPr>
                      <w:rFonts w:hint="default" w:ascii="Times New Roman" w:hAnsi="Times New Roman" w:eastAsia="方正仿宋_GBK" w:cs="Times New Roman"/>
                      <w:b/>
                      <w:sz w:val="24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b/>
                      <w:sz w:val="24"/>
                    </w:rPr>
                    <w:t>学生活动1</w:t>
                  </w:r>
                </w:p>
                <w:p w14:paraId="71A1E2A8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60" w:lineRule="exact"/>
                    <w:jc w:val="left"/>
                    <w:textAlignment w:val="baseline"/>
                    <w:rPr>
                      <w:rFonts w:hint="default" w:ascii="Times New Roman" w:hAnsi="Times New Roman" w:eastAsia="方正仿宋_GBK" w:cs="Times New Roman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</w:rPr>
                    <w:t>（学生在真实的问题情境中开展学习活动；围绕学习任务开展系列活动；与教的环节对应，学生通过分析任务、设计方案、解决问题、分享交流进行学习并有实际收获。下同）</w:t>
                  </w:r>
                </w:p>
                <w:p w14:paraId="16BC6897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60" w:lineRule="exact"/>
                    <w:jc w:val="left"/>
                    <w:textAlignment w:val="baseline"/>
                    <w:rPr>
                      <w:rFonts w:hint="default" w:ascii="Times New Roman" w:hAnsi="Times New Roman" w:eastAsia="方正仿宋_GBK" w:cs="Times New Roman"/>
                      <w:b/>
                      <w:sz w:val="24"/>
                    </w:rPr>
                  </w:pPr>
                </w:p>
              </w:tc>
            </w:tr>
            <w:tr w14:paraId="5FDEDA8A">
              <w:tblPrEx>
                <w:tblBorders>
                  <w:top w:val="dotDash" w:color="auto" w:sz="4" w:space="0"/>
                  <w:left w:val="dotDash" w:color="auto" w:sz="4" w:space="0"/>
                  <w:bottom w:val="dotDash" w:color="auto" w:sz="4" w:space="0"/>
                  <w:right w:val="dotDash" w:color="auto" w:sz="4" w:space="0"/>
                  <w:insideH w:val="dotDash" w:color="auto" w:sz="4" w:space="0"/>
                  <w:insideV w:val="dotDash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7" w:hRule="atLeast"/>
              </w:trPr>
              <w:tc>
                <w:tcPr>
                  <w:tcW w:w="9649" w:type="dxa"/>
                  <w:gridSpan w:val="3"/>
                </w:tcPr>
                <w:p w14:paraId="2D18EE0F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60" w:lineRule="exact"/>
                    <w:jc w:val="left"/>
                    <w:textAlignment w:val="baseline"/>
                    <w:rPr>
                      <w:rFonts w:hint="default" w:ascii="Times New Roman" w:hAnsi="Times New Roman" w:eastAsia="方正仿宋_GBK" w:cs="Times New Roman"/>
                      <w:b/>
                      <w:sz w:val="24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b/>
                      <w:sz w:val="24"/>
                    </w:rPr>
                    <w:t>活动意图说明</w:t>
                  </w:r>
                  <w:r>
                    <w:rPr>
                      <w:rFonts w:hint="default" w:ascii="Times New Roman" w:hAnsi="Times New Roman" w:eastAsia="方正仿宋_GBK" w:cs="Times New Roman"/>
                    </w:rPr>
                    <w:t>（简要说明教学环节、学习情境、学习活动等的组织与实施意图，预设学生可能出现的障碍，说明环节或活动对目标达成的意义和学生发展的意义。说出教与学活动的关联，关注课堂互动的层次与深度）</w:t>
                  </w:r>
                </w:p>
              </w:tc>
            </w:tr>
            <w:tr w14:paraId="4433B129">
              <w:tblPrEx>
                <w:tblBorders>
                  <w:top w:val="dotDash" w:color="auto" w:sz="4" w:space="0"/>
                  <w:left w:val="dotDash" w:color="auto" w:sz="4" w:space="0"/>
                  <w:bottom w:val="dotDash" w:color="auto" w:sz="4" w:space="0"/>
                  <w:right w:val="dotDash" w:color="auto" w:sz="4" w:space="0"/>
                  <w:insideH w:val="dotDash" w:color="auto" w:sz="4" w:space="0"/>
                  <w:insideV w:val="dotDash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2" w:hRule="atLeast"/>
              </w:trPr>
              <w:tc>
                <w:tcPr>
                  <w:tcW w:w="9649" w:type="dxa"/>
                  <w:gridSpan w:val="3"/>
                </w:tcPr>
                <w:p w14:paraId="5AEE4C1F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60" w:lineRule="exact"/>
                    <w:jc w:val="left"/>
                    <w:textAlignment w:val="baseline"/>
                    <w:rPr>
                      <w:rFonts w:hint="default" w:ascii="Times New Roman" w:hAnsi="Times New Roman" w:eastAsia="方正仿宋_GBK" w:cs="Times New Roman"/>
                      <w:b/>
                      <w:sz w:val="24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b/>
                      <w:sz w:val="24"/>
                    </w:rPr>
                    <w:t>环节二：</w:t>
                  </w:r>
                </w:p>
              </w:tc>
            </w:tr>
            <w:tr w14:paraId="6AF37685">
              <w:tblPrEx>
                <w:tblBorders>
                  <w:top w:val="dotDash" w:color="auto" w:sz="4" w:space="0"/>
                  <w:left w:val="dotDash" w:color="auto" w:sz="4" w:space="0"/>
                  <w:bottom w:val="dotDash" w:color="auto" w:sz="4" w:space="0"/>
                  <w:right w:val="dotDash" w:color="auto" w:sz="4" w:space="0"/>
                  <w:insideH w:val="dotDash" w:color="auto" w:sz="4" w:space="0"/>
                  <w:insideV w:val="dotDash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7" w:hRule="atLeast"/>
              </w:trPr>
              <w:tc>
                <w:tcPr>
                  <w:tcW w:w="4427" w:type="dxa"/>
                </w:tcPr>
                <w:p w14:paraId="375429AC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60" w:lineRule="exact"/>
                    <w:jc w:val="left"/>
                    <w:textAlignment w:val="baseline"/>
                    <w:rPr>
                      <w:rFonts w:hint="default" w:ascii="Times New Roman" w:hAnsi="Times New Roman" w:eastAsia="方正仿宋_GBK" w:cs="Times New Roman"/>
                      <w:b/>
                      <w:sz w:val="24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b/>
                      <w:sz w:val="24"/>
                    </w:rPr>
                    <w:t>教师活动2</w:t>
                  </w:r>
                </w:p>
              </w:tc>
              <w:tc>
                <w:tcPr>
                  <w:tcW w:w="5222" w:type="dxa"/>
                  <w:gridSpan w:val="2"/>
                </w:tcPr>
                <w:p w14:paraId="3F042325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60" w:lineRule="exact"/>
                    <w:jc w:val="left"/>
                    <w:textAlignment w:val="baseline"/>
                    <w:rPr>
                      <w:rFonts w:hint="default" w:ascii="Times New Roman" w:hAnsi="Times New Roman" w:eastAsia="方正仿宋_GBK" w:cs="Times New Roman"/>
                      <w:b/>
                      <w:sz w:val="24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b/>
                      <w:sz w:val="24"/>
                    </w:rPr>
                    <w:t>学生活动2</w:t>
                  </w:r>
                </w:p>
              </w:tc>
            </w:tr>
            <w:tr w14:paraId="0EAD420F">
              <w:tblPrEx>
                <w:tblBorders>
                  <w:top w:val="dotDash" w:color="auto" w:sz="4" w:space="0"/>
                  <w:left w:val="dotDash" w:color="auto" w:sz="4" w:space="0"/>
                  <w:bottom w:val="dotDash" w:color="auto" w:sz="4" w:space="0"/>
                  <w:right w:val="dotDash" w:color="auto" w:sz="4" w:space="0"/>
                  <w:insideH w:val="dotDash" w:color="auto" w:sz="4" w:space="0"/>
                  <w:insideV w:val="dotDash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7" w:hRule="atLeast"/>
              </w:trPr>
              <w:tc>
                <w:tcPr>
                  <w:tcW w:w="9649" w:type="dxa"/>
                  <w:gridSpan w:val="3"/>
                </w:tcPr>
                <w:p w14:paraId="41212178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60" w:lineRule="exact"/>
                    <w:jc w:val="left"/>
                    <w:textAlignment w:val="baseline"/>
                    <w:rPr>
                      <w:rFonts w:hint="default" w:ascii="Times New Roman" w:hAnsi="Times New Roman" w:eastAsia="方正仿宋_GBK" w:cs="Times New Roman"/>
                      <w:b/>
                      <w:sz w:val="24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b/>
                      <w:sz w:val="24"/>
                    </w:rPr>
                    <w:t>活动意图说明</w:t>
                  </w:r>
                </w:p>
              </w:tc>
            </w:tr>
            <w:tr w14:paraId="191EDD9F">
              <w:tblPrEx>
                <w:tblBorders>
                  <w:top w:val="dotDash" w:color="auto" w:sz="4" w:space="0"/>
                  <w:left w:val="dotDash" w:color="auto" w:sz="4" w:space="0"/>
                  <w:bottom w:val="dotDash" w:color="auto" w:sz="4" w:space="0"/>
                  <w:right w:val="dotDash" w:color="auto" w:sz="4" w:space="0"/>
                  <w:insideH w:val="dotDash" w:color="auto" w:sz="4" w:space="0"/>
                  <w:insideV w:val="dotDash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9" w:hRule="atLeast"/>
              </w:trPr>
              <w:tc>
                <w:tcPr>
                  <w:tcW w:w="9649" w:type="dxa"/>
                  <w:gridSpan w:val="3"/>
                </w:tcPr>
                <w:p w14:paraId="2C52B229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60" w:lineRule="exact"/>
                    <w:jc w:val="left"/>
                    <w:textAlignment w:val="baseline"/>
                    <w:rPr>
                      <w:rFonts w:hint="default" w:ascii="Times New Roman" w:hAnsi="Times New Roman" w:eastAsia="方正仿宋_GBK" w:cs="Times New Roman"/>
                      <w:b/>
                      <w:sz w:val="24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b/>
                      <w:sz w:val="24"/>
                    </w:rPr>
                    <w:t>……</w:t>
                  </w:r>
                </w:p>
              </w:tc>
            </w:tr>
            <w:tr w14:paraId="293F9CD2">
              <w:tblPrEx>
                <w:tblBorders>
                  <w:top w:val="dotDash" w:color="auto" w:sz="4" w:space="0"/>
                  <w:left w:val="dotDash" w:color="auto" w:sz="4" w:space="0"/>
                  <w:bottom w:val="dotDash" w:color="auto" w:sz="4" w:space="0"/>
                  <w:right w:val="dotDash" w:color="auto" w:sz="4" w:space="0"/>
                  <w:insideH w:val="dotDash" w:color="auto" w:sz="4" w:space="0"/>
                  <w:insideV w:val="dotDash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9" w:hRule="atLeast"/>
              </w:trPr>
              <w:tc>
                <w:tcPr>
                  <w:tcW w:w="9649" w:type="dxa"/>
                  <w:gridSpan w:val="3"/>
                </w:tcPr>
                <w:p w14:paraId="582A0A51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60" w:lineRule="exact"/>
                    <w:jc w:val="left"/>
                    <w:textAlignment w:val="baseline"/>
                    <w:rPr>
                      <w:rFonts w:hint="default" w:ascii="Times New Roman" w:hAnsi="Times New Roman" w:eastAsia="方正仿宋_GBK" w:cs="Times New Roman"/>
                      <w:b/>
                      <w:sz w:val="24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b/>
                      <w:sz w:val="24"/>
                    </w:rPr>
                    <w:t>环节三：</w:t>
                  </w:r>
                </w:p>
              </w:tc>
            </w:tr>
            <w:tr w14:paraId="527C7817">
              <w:tblPrEx>
                <w:tblBorders>
                  <w:top w:val="dotDash" w:color="auto" w:sz="4" w:space="0"/>
                  <w:left w:val="dotDash" w:color="auto" w:sz="4" w:space="0"/>
                  <w:bottom w:val="dotDash" w:color="auto" w:sz="4" w:space="0"/>
                  <w:right w:val="dotDash" w:color="auto" w:sz="4" w:space="0"/>
                  <w:insideH w:val="dotDash" w:color="auto" w:sz="4" w:space="0"/>
                  <w:insideV w:val="dotDash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9" w:hRule="atLeast"/>
              </w:trPr>
              <w:tc>
                <w:tcPr>
                  <w:tcW w:w="4491" w:type="dxa"/>
                  <w:gridSpan w:val="2"/>
                </w:tcPr>
                <w:p w14:paraId="703F357D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60" w:lineRule="exact"/>
                    <w:jc w:val="left"/>
                    <w:textAlignment w:val="baseline"/>
                    <w:rPr>
                      <w:rFonts w:hint="default" w:ascii="Times New Roman" w:hAnsi="Times New Roman" w:eastAsia="方正仿宋_GBK" w:cs="Times New Roman"/>
                      <w:b/>
                      <w:sz w:val="24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b/>
                      <w:sz w:val="24"/>
                    </w:rPr>
                    <w:t xml:space="preserve">教师活动3                            </w:t>
                  </w:r>
                </w:p>
              </w:tc>
              <w:tc>
                <w:tcPr>
                  <w:tcW w:w="5158" w:type="dxa"/>
                </w:tcPr>
                <w:p w14:paraId="3DD6DEFE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60" w:lineRule="exact"/>
                    <w:jc w:val="left"/>
                    <w:textAlignment w:val="baseline"/>
                    <w:rPr>
                      <w:rFonts w:hint="default" w:ascii="Times New Roman" w:hAnsi="Times New Roman" w:eastAsia="方正仿宋_GBK" w:cs="Times New Roman"/>
                      <w:b/>
                      <w:sz w:val="24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b/>
                      <w:sz w:val="24"/>
                    </w:rPr>
                    <w:t>学生活动3</w:t>
                  </w:r>
                </w:p>
              </w:tc>
            </w:tr>
            <w:tr w14:paraId="21FD19AD">
              <w:tblPrEx>
                <w:tblBorders>
                  <w:top w:val="dotDash" w:color="auto" w:sz="4" w:space="0"/>
                  <w:left w:val="dotDash" w:color="auto" w:sz="4" w:space="0"/>
                  <w:bottom w:val="dotDash" w:color="auto" w:sz="4" w:space="0"/>
                  <w:right w:val="dotDash" w:color="auto" w:sz="4" w:space="0"/>
                  <w:insideH w:val="dotDash" w:color="auto" w:sz="4" w:space="0"/>
                  <w:insideV w:val="dotDash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9" w:hRule="atLeast"/>
              </w:trPr>
              <w:tc>
                <w:tcPr>
                  <w:tcW w:w="9649" w:type="dxa"/>
                  <w:gridSpan w:val="3"/>
                </w:tcPr>
                <w:p w14:paraId="46FB27B0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60" w:lineRule="exact"/>
                    <w:jc w:val="left"/>
                    <w:textAlignment w:val="baseline"/>
                    <w:rPr>
                      <w:rFonts w:hint="default" w:ascii="Times New Roman" w:hAnsi="Times New Roman" w:eastAsia="方正仿宋_GBK" w:cs="Times New Roman"/>
                      <w:b/>
                      <w:sz w:val="24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b/>
                      <w:sz w:val="24"/>
                    </w:rPr>
                    <w:t>活动意图说明</w:t>
                  </w:r>
                </w:p>
              </w:tc>
            </w:tr>
            <w:tr w14:paraId="610294D3">
              <w:tblPrEx>
                <w:tblBorders>
                  <w:top w:val="dotDash" w:color="auto" w:sz="4" w:space="0"/>
                  <w:left w:val="dotDash" w:color="auto" w:sz="4" w:space="0"/>
                  <w:bottom w:val="dotDash" w:color="auto" w:sz="4" w:space="0"/>
                  <w:right w:val="dotDash" w:color="auto" w:sz="4" w:space="0"/>
                  <w:insideH w:val="dotDash" w:color="auto" w:sz="4" w:space="0"/>
                  <w:insideV w:val="dotDash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21" w:hRule="atLeast"/>
              </w:trPr>
              <w:tc>
                <w:tcPr>
                  <w:tcW w:w="9649" w:type="dxa"/>
                  <w:gridSpan w:val="3"/>
                </w:tcPr>
                <w:p w14:paraId="3F2CE971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60" w:lineRule="exact"/>
                    <w:jc w:val="left"/>
                    <w:textAlignment w:val="baseline"/>
                    <w:rPr>
                      <w:rFonts w:hint="default" w:ascii="Times New Roman" w:hAnsi="Times New Roman" w:eastAsia="方正仿宋_GBK" w:cs="Times New Roman"/>
                      <w:b/>
                      <w:sz w:val="24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b/>
                      <w:sz w:val="24"/>
                    </w:rPr>
                    <w:t>……</w:t>
                  </w:r>
                </w:p>
              </w:tc>
            </w:tr>
          </w:tbl>
          <w:p w14:paraId="0A5568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b/>
                <w:sz w:val="24"/>
              </w:rPr>
            </w:pPr>
          </w:p>
        </w:tc>
      </w:tr>
      <w:tr w14:paraId="62DC9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776" w:type="dxa"/>
            <w:gridSpan w:val="2"/>
            <w:vAlign w:val="center"/>
          </w:tcPr>
          <w:p w14:paraId="05D70D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b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</w:rPr>
              <w:t>7.板书设计</w:t>
            </w:r>
            <w:r>
              <w:rPr>
                <w:rFonts w:hint="default" w:ascii="Times New Roman" w:hAnsi="Times New Roman" w:eastAsia="方正仿宋_GBK" w:cs="Times New Roman"/>
              </w:rPr>
              <w:t>（板书完整呈现教与学活动的过程，最好能呈现建构知识结构与思维发展的路径与关键点。使用PPT时应注意呈现学生学习过程的完整性）</w:t>
            </w:r>
          </w:p>
        </w:tc>
      </w:tr>
      <w:tr w14:paraId="76B75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776" w:type="dxa"/>
            <w:gridSpan w:val="2"/>
            <w:vAlign w:val="center"/>
          </w:tcPr>
          <w:p w14:paraId="6C36FC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</w:rPr>
              <w:t>8.作业设计</w:t>
            </w:r>
            <w:r>
              <w:rPr>
                <w:rFonts w:hint="default" w:ascii="Times New Roman" w:hAnsi="Times New Roman" w:eastAsia="方正仿宋_GBK" w:cs="Times New Roman"/>
              </w:rPr>
              <w:t>（关注作业的针对性、预计完成时间，发挥作业对复习巩固、引导学生深入学习的作用）</w:t>
            </w:r>
          </w:p>
        </w:tc>
      </w:tr>
      <w:tr w14:paraId="30792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776" w:type="dxa"/>
            <w:gridSpan w:val="2"/>
            <w:vAlign w:val="center"/>
          </w:tcPr>
          <w:p w14:paraId="261C0F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b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</w:rPr>
              <w:t>9.教学反思与改进</w:t>
            </w:r>
            <w:r>
              <w:rPr>
                <w:rFonts w:hint="default" w:ascii="Times New Roman" w:hAnsi="Times New Roman" w:eastAsia="方正仿宋_GBK" w:cs="Times New Roman"/>
              </w:rPr>
              <w:t>（教与学的经验性总结，基于学情分析和目标达成度进行对比反思，教学自我评估与改进设想）</w:t>
            </w:r>
          </w:p>
        </w:tc>
      </w:tr>
      <w:tr w14:paraId="2EB17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DEE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b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</w:rPr>
              <w:t>说明：</w:t>
            </w:r>
          </w:p>
          <w:p w14:paraId="78D64E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（1）教学设计突出学生学习的主体地位，依据学科课程标准要求突出课时学习对学生发展的价值，设计情境化、活动化、任务化的学习活动，增强学生学习过程的体验性、实践性和整体性。日常工作中，教师“基本信息”可以简写。</w:t>
            </w:r>
          </w:p>
          <w:p w14:paraId="07A089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（2）教学反思与改进突出课堂学习目标的达成度，依据学生的变化和本课教学的特色，从教学观念系统和操作系统两方面进行反思；教学设计和教学手段等是否合理，教学行为与教学目标是否一致，情境活动和师生关系等是否符合教学规律，等等。从设计、实施、评价、理念落实等方面找优点，并说明今后完善与改进不足的办法。教学反思与评价不要求面面俱到，但须真实客观。</w:t>
            </w:r>
          </w:p>
          <w:p w14:paraId="018318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（3）教学设计、课堂实施和学习评价要保持一致性，目的是促进课堂“教-学-评”的改进。可依据课堂实施实际状况整理教学实录和教学案例，详细呈现某一课时的教学实践过程，呈现课堂中学生的学习资源、学习活动、学习表现;呈现教师引导(评价)学生深入学习的方式方法，从而分析学生在课堂每个环节中的实际表现和实际收获，突出课堂中学生学习活动与教师的示范、指导、评价等教学过程的对应。过程完整，资源齐全，任务具体，互动充分。</w:t>
            </w:r>
          </w:p>
        </w:tc>
      </w:tr>
    </w:tbl>
    <w:p w14:paraId="7EA39BE3">
      <w:pPr>
        <w:spacing w:line="60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  <w:lang w:bidi="ar"/>
        </w:rPr>
      </w:pPr>
    </w:p>
    <w:p w14:paraId="20DDCF06">
      <w:pPr>
        <w:spacing w:line="600" w:lineRule="exact"/>
        <w:jc w:val="center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bidi="ar"/>
        </w:rPr>
        <w:t>重庆市2025年初中道德与法治学科优质课大赛日程安排</w:t>
      </w:r>
    </w:p>
    <w:p w14:paraId="5F170B0C">
      <w:pPr>
        <w:rPr>
          <w:rFonts w:hint="default" w:ascii="Times New Roman" w:hAnsi="Times New Roman" w:cs="Times New Roman"/>
        </w:rPr>
      </w:pPr>
    </w:p>
    <w:p w14:paraId="2CDDDCA6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bidi="ar"/>
        </w:rPr>
        <w:t>1.各区县、重庆市第一中学校、重庆市南开中学校、重庆市第八中学校、重庆市巴蜀中学校、重庆市育才中学校、西南大学附属中学校、重庆外国语学校、重庆巴蜀中学校（张家花园校区）务必做好备赛工作，并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>于11月15日18：00前扫描附件中二维码完成优质课大赛参赛教师报名工作。</w:t>
      </w:r>
    </w:p>
    <w:p w14:paraId="60BE4DE2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>2.参赛教师于11月22日18：00前扫描附件中的二维码，按要求填写参赛信息并上传教学设计。</w:t>
      </w:r>
    </w:p>
    <w:p w14:paraId="0F75F4C0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>3.评委、参赛教师于11月25日下午14:30在重庆巴蜀中学校（张家花园校区）报到。评委报到后于15:00参</w:t>
      </w:r>
      <w:r>
        <w:rPr>
          <w:rFonts w:hint="default" w:ascii="Times New Roman" w:hAnsi="Times New Roman" w:eastAsia="方正仿宋_GBK" w:cs="Times New Roman"/>
          <w:sz w:val="32"/>
          <w:szCs w:val="32"/>
          <w:lang w:bidi="ar"/>
        </w:rPr>
        <w:t>加评委会；参赛教师报到后于16:00参加参赛选手会，会后可按抽签决定的授课顺序依次在授课现场调试课件。</w:t>
      </w:r>
    </w:p>
    <w:p w14:paraId="439117AE"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bidi="ar"/>
        </w:rPr>
        <w:t>4.参赛教师可于比赛前一天的晚上（18：00-20：00）与执教班级学生见面，见面总时间不得超过10分钟。</w:t>
      </w:r>
    </w:p>
    <w:p w14:paraId="7ABBB721">
      <w:pPr>
        <w:spacing w:line="360" w:lineRule="auto"/>
        <w:jc w:val="left"/>
        <w:rPr>
          <w:rStyle w:val="5"/>
          <w:rFonts w:hint="default" w:ascii="Times New Roman" w:hAnsi="Times New Roman" w:eastAsia="仿宋" w:cs="Times New Roman"/>
          <w:kern w:val="0"/>
        </w:rPr>
      </w:pPr>
    </w:p>
    <w:p w14:paraId="0A29C138">
      <w:pPr>
        <w:spacing w:line="360" w:lineRule="auto"/>
        <w:jc w:val="left"/>
        <w:rPr>
          <w:rStyle w:val="5"/>
          <w:rFonts w:hint="default" w:ascii="Times New Roman" w:hAnsi="Times New Roman" w:eastAsia="仿宋" w:cs="Times New Roman"/>
          <w:kern w:val="0"/>
        </w:rPr>
      </w:pPr>
    </w:p>
    <w:p w14:paraId="2063B48F">
      <w:pPr>
        <w:spacing w:line="360" w:lineRule="auto"/>
        <w:jc w:val="left"/>
        <w:rPr>
          <w:rStyle w:val="5"/>
          <w:rFonts w:hint="default" w:ascii="Times New Roman" w:hAnsi="Times New Roman" w:eastAsia="方正仿宋_GBK" w:cs="Times New Roman"/>
          <w:kern w:val="0"/>
        </w:rPr>
      </w:pPr>
    </w:p>
    <w:p w14:paraId="3A03A239">
      <w:bookmarkStart w:id="0" w:name="_GoBack"/>
      <w:bookmarkEnd w:id="0"/>
    </w:p>
    <w:sectPr>
      <w:footerReference r:id="rId3" w:type="default"/>
      <w:footerReference r:id="rId4" w:type="even"/>
      <w:pgSz w:w="11907" w:h="16840"/>
      <w:pgMar w:top="1559" w:right="1474" w:bottom="1559" w:left="1361" w:header="992" w:footer="567" w:gutter="0"/>
      <w:pgNumType w:fmt="numberInDash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31A346">
    <w:pPr>
      <w:pStyle w:val="2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B2CA13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6B2CA13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1C6D26">
    <w:pPr>
      <w:pStyle w:val="2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F3ECF3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- 10 -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0F3ECF3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- 10 -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971A2B"/>
    <w:rsid w:val="00F44889"/>
    <w:rsid w:val="012C4639"/>
    <w:rsid w:val="02344CA9"/>
    <w:rsid w:val="02F3570A"/>
    <w:rsid w:val="02FF11C0"/>
    <w:rsid w:val="046E6B4B"/>
    <w:rsid w:val="05B02D0D"/>
    <w:rsid w:val="07BD1123"/>
    <w:rsid w:val="086C5E40"/>
    <w:rsid w:val="0AC94734"/>
    <w:rsid w:val="0B0B7CEE"/>
    <w:rsid w:val="0E42461A"/>
    <w:rsid w:val="0E91469A"/>
    <w:rsid w:val="0EE14765"/>
    <w:rsid w:val="0F3F7667"/>
    <w:rsid w:val="0F6577D9"/>
    <w:rsid w:val="0FA44136"/>
    <w:rsid w:val="0FEE5619"/>
    <w:rsid w:val="109773F2"/>
    <w:rsid w:val="1289341C"/>
    <w:rsid w:val="14190AD2"/>
    <w:rsid w:val="14466F9D"/>
    <w:rsid w:val="15501924"/>
    <w:rsid w:val="161C0E5E"/>
    <w:rsid w:val="165C7AFF"/>
    <w:rsid w:val="166B53EC"/>
    <w:rsid w:val="16CD2F38"/>
    <w:rsid w:val="17873BBD"/>
    <w:rsid w:val="182E6B68"/>
    <w:rsid w:val="18304DD3"/>
    <w:rsid w:val="1895699B"/>
    <w:rsid w:val="19F30A04"/>
    <w:rsid w:val="1ABA05ED"/>
    <w:rsid w:val="1AFC72BC"/>
    <w:rsid w:val="1B62562C"/>
    <w:rsid w:val="1EC7530C"/>
    <w:rsid w:val="1EEB162D"/>
    <w:rsid w:val="20757E38"/>
    <w:rsid w:val="21EA4EFA"/>
    <w:rsid w:val="2222365B"/>
    <w:rsid w:val="24FB1DC2"/>
    <w:rsid w:val="257A6B2F"/>
    <w:rsid w:val="258D3B9E"/>
    <w:rsid w:val="275675A5"/>
    <w:rsid w:val="28832735"/>
    <w:rsid w:val="28B2541A"/>
    <w:rsid w:val="2B095359"/>
    <w:rsid w:val="2B460650"/>
    <w:rsid w:val="2B8164E9"/>
    <w:rsid w:val="2BE67E86"/>
    <w:rsid w:val="2C8D25F9"/>
    <w:rsid w:val="2C9B040D"/>
    <w:rsid w:val="2CAA5BAA"/>
    <w:rsid w:val="2D383215"/>
    <w:rsid w:val="2DEB151A"/>
    <w:rsid w:val="2E7241EB"/>
    <w:rsid w:val="2ED54CD6"/>
    <w:rsid w:val="2FD141BC"/>
    <w:rsid w:val="30042AC8"/>
    <w:rsid w:val="31503ABE"/>
    <w:rsid w:val="32EF6914"/>
    <w:rsid w:val="33C6019D"/>
    <w:rsid w:val="34150D81"/>
    <w:rsid w:val="34A34242"/>
    <w:rsid w:val="35125C77"/>
    <w:rsid w:val="36773120"/>
    <w:rsid w:val="36B2629C"/>
    <w:rsid w:val="38247890"/>
    <w:rsid w:val="397F3DF5"/>
    <w:rsid w:val="3CEF5962"/>
    <w:rsid w:val="3D8D23F7"/>
    <w:rsid w:val="3DAA4D22"/>
    <w:rsid w:val="3E725140"/>
    <w:rsid w:val="42A336EA"/>
    <w:rsid w:val="43DB0A44"/>
    <w:rsid w:val="43DB124A"/>
    <w:rsid w:val="43DC2D0A"/>
    <w:rsid w:val="444F6DA9"/>
    <w:rsid w:val="457837CB"/>
    <w:rsid w:val="458332D2"/>
    <w:rsid w:val="45C9257D"/>
    <w:rsid w:val="476A02E5"/>
    <w:rsid w:val="48496728"/>
    <w:rsid w:val="48575202"/>
    <w:rsid w:val="48D647E0"/>
    <w:rsid w:val="494203DC"/>
    <w:rsid w:val="49B44C48"/>
    <w:rsid w:val="4A5D71EC"/>
    <w:rsid w:val="4B264E7E"/>
    <w:rsid w:val="4C2222D9"/>
    <w:rsid w:val="4C2439B6"/>
    <w:rsid w:val="4C247440"/>
    <w:rsid w:val="4C263C1A"/>
    <w:rsid w:val="4C3B5051"/>
    <w:rsid w:val="4DF40E40"/>
    <w:rsid w:val="4EEB251F"/>
    <w:rsid w:val="4F59576E"/>
    <w:rsid w:val="50AE6AAE"/>
    <w:rsid w:val="51842931"/>
    <w:rsid w:val="52392B0B"/>
    <w:rsid w:val="54EF721D"/>
    <w:rsid w:val="573178BC"/>
    <w:rsid w:val="57753D5F"/>
    <w:rsid w:val="582B34A0"/>
    <w:rsid w:val="588230E7"/>
    <w:rsid w:val="58A107A4"/>
    <w:rsid w:val="590103BF"/>
    <w:rsid w:val="599251D8"/>
    <w:rsid w:val="59FA1DEC"/>
    <w:rsid w:val="5B861105"/>
    <w:rsid w:val="5C1D31A5"/>
    <w:rsid w:val="5C2E1D3B"/>
    <w:rsid w:val="5D9D6E7E"/>
    <w:rsid w:val="5DCD21EF"/>
    <w:rsid w:val="5E6C439A"/>
    <w:rsid w:val="5F5B607F"/>
    <w:rsid w:val="5FDD0A26"/>
    <w:rsid w:val="6309029F"/>
    <w:rsid w:val="65C61DD6"/>
    <w:rsid w:val="66167AAD"/>
    <w:rsid w:val="67A20C4A"/>
    <w:rsid w:val="67D06E3E"/>
    <w:rsid w:val="681D0264"/>
    <w:rsid w:val="694F5805"/>
    <w:rsid w:val="697D0F07"/>
    <w:rsid w:val="6B3B2453"/>
    <w:rsid w:val="6D110129"/>
    <w:rsid w:val="6DA742FA"/>
    <w:rsid w:val="6DB50101"/>
    <w:rsid w:val="6E304546"/>
    <w:rsid w:val="6EFD25CC"/>
    <w:rsid w:val="6F780C53"/>
    <w:rsid w:val="70030382"/>
    <w:rsid w:val="708D2F57"/>
    <w:rsid w:val="716218D9"/>
    <w:rsid w:val="719D0447"/>
    <w:rsid w:val="76605354"/>
    <w:rsid w:val="76A7751E"/>
    <w:rsid w:val="777F6BB3"/>
    <w:rsid w:val="77D97DCE"/>
    <w:rsid w:val="785364CC"/>
    <w:rsid w:val="78BB2B0E"/>
    <w:rsid w:val="794200D5"/>
    <w:rsid w:val="79971A2B"/>
    <w:rsid w:val="7A551DE4"/>
    <w:rsid w:val="7BD87028"/>
    <w:rsid w:val="7C124B0B"/>
    <w:rsid w:val="7C7E2FAD"/>
    <w:rsid w:val="7D727231"/>
    <w:rsid w:val="7D7617AB"/>
    <w:rsid w:val="7DD61910"/>
    <w:rsid w:val="7E7963E5"/>
    <w:rsid w:val="7E8D6284"/>
    <w:rsid w:val="7ED176C6"/>
    <w:rsid w:val="7EEB422D"/>
    <w:rsid w:val="7F93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2025-10-11T06:43:00Z</dcterms:created>
  <dc:creator>周念珠</dc:creator>
  <cp:lastModifiedBy>周念珠</cp:lastModifiedBy>
  <dcterms:modified xsi:type="dcterms:W3CDTF">2025-10-11T06:44:10Z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50AA3A9D16C749DA8A487355CA231B50_11</vt:lpwstr>
  </property>
  <property fmtid="{D5CDD505-2E9C-101B-9397-08002B2CF9AE}" pid="4" name="KSOTemplateDocerSaveRecord">
    <vt:lpwstr>eyJoZGlkIjoiMDNmZmYyZjE2ODU0MWE2NzBlZGViOTA3OGM3M2Q3ZDgiLCJ1c2VySWQiOiIxNjY2MjU2MDk0In0=</vt:lpwstr>
  </property>
</Properties>
</file>