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D" w:rsidRPr="00403F30" w:rsidRDefault="00AD494D" w:rsidP="00AD494D">
      <w:pPr>
        <w:spacing w:line="600" w:lineRule="exact"/>
        <w:rPr>
          <w:rFonts w:ascii="方正黑体_GBK" w:eastAsia="方正黑体_GBK" w:cs="方正楷体_GBK"/>
          <w:sz w:val="32"/>
          <w:szCs w:val="32"/>
        </w:rPr>
      </w:pPr>
      <w:r w:rsidRPr="00403F30">
        <w:rPr>
          <w:rFonts w:ascii="方正黑体_GBK" w:eastAsia="方正黑体_GBK" w:cs="方正楷体_GBK" w:hint="eastAsia"/>
          <w:sz w:val="32"/>
          <w:szCs w:val="32"/>
        </w:rPr>
        <w:t>附件2</w:t>
      </w:r>
    </w:p>
    <w:p w:rsidR="00AD494D" w:rsidRDefault="00AD494D" w:rsidP="00AD494D">
      <w:pPr>
        <w:shd w:val="clear" w:color="auto" w:fill="FFFFFF"/>
        <w:spacing w:line="560" w:lineRule="exact"/>
        <w:jc w:val="center"/>
        <w:rPr>
          <w:rStyle w:val="NormalCharacter"/>
          <w:rFonts w:ascii="方正小标宋_GBK" w:eastAsia="方正小标宋_GBK" w:hAnsi="宋体"/>
          <w:color w:val="000000"/>
          <w:kern w:val="0"/>
          <w:sz w:val="44"/>
          <w:szCs w:val="44"/>
        </w:rPr>
      </w:pPr>
    </w:p>
    <w:p w:rsidR="00AD494D" w:rsidRPr="00403F30" w:rsidRDefault="00AD494D" w:rsidP="00AD494D">
      <w:pPr>
        <w:shd w:val="clear" w:color="auto" w:fill="FFFFFF"/>
        <w:spacing w:line="560" w:lineRule="exact"/>
        <w:jc w:val="center"/>
        <w:rPr>
          <w:rStyle w:val="NormalCharacter"/>
          <w:rFonts w:ascii="方正小标宋_GBK" w:eastAsia="方正小标宋_GBK" w:hAnsi="宋体"/>
          <w:color w:val="000000"/>
          <w:kern w:val="0"/>
          <w:sz w:val="44"/>
          <w:szCs w:val="44"/>
        </w:rPr>
      </w:pPr>
      <w:r w:rsidRPr="00403F30">
        <w:rPr>
          <w:rStyle w:val="NormalCharacter"/>
          <w:rFonts w:ascii="方正小标宋_GBK" w:eastAsia="方正小标宋_GBK" w:hAnsi="宋体"/>
          <w:color w:val="000000"/>
          <w:kern w:val="0"/>
          <w:sz w:val="44"/>
          <w:szCs w:val="44"/>
        </w:rPr>
        <w:t>赛课内容安排表</w:t>
      </w:r>
    </w:p>
    <w:p w:rsidR="00AD494D" w:rsidRDefault="00AD494D" w:rsidP="00AD494D">
      <w:pPr>
        <w:shd w:val="clear" w:color="auto" w:fill="FFFFFF"/>
        <w:spacing w:line="300" w:lineRule="exact"/>
        <w:jc w:val="center"/>
        <w:rPr>
          <w:rStyle w:val="NormalCharacter"/>
          <w:rFonts w:ascii="方正小标宋_GBK" w:eastAsia="方正小标宋_GBK" w:hAnsi="宋体"/>
          <w:b/>
          <w:color w:val="000000"/>
          <w:kern w:val="0"/>
          <w:sz w:val="44"/>
          <w:szCs w:val="44"/>
        </w:rPr>
      </w:pPr>
    </w:p>
    <w:p w:rsidR="00AD494D" w:rsidRPr="00403F30" w:rsidRDefault="00AD494D" w:rsidP="00AD494D">
      <w:pPr>
        <w:spacing w:line="300" w:lineRule="exact"/>
        <w:jc w:val="center"/>
        <w:rPr>
          <w:rStyle w:val="NormalCharacter"/>
          <w:rFonts w:eastAsia="方正仿宋_GBK"/>
          <w:b/>
          <w:sz w:val="28"/>
          <w:szCs w:val="28"/>
        </w:rPr>
      </w:pPr>
      <w:r w:rsidRPr="00403F30">
        <w:rPr>
          <w:rStyle w:val="NormalCharacter"/>
          <w:rFonts w:eastAsia="方正仿宋_GBK"/>
          <w:b/>
          <w:sz w:val="28"/>
          <w:szCs w:val="28"/>
        </w:rPr>
        <w:t>高中赛课内容（第一组）</w:t>
      </w:r>
    </w:p>
    <w:p w:rsidR="00AD494D" w:rsidRPr="00403F30" w:rsidRDefault="00AD494D" w:rsidP="00AD494D">
      <w:pPr>
        <w:spacing w:line="300" w:lineRule="exact"/>
        <w:jc w:val="center"/>
        <w:rPr>
          <w:rStyle w:val="NormalCharacter"/>
          <w:rFonts w:eastAsia="方正仿宋_GBK"/>
          <w:b/>
          <w:sz w:val="28"/>
          <w:szCs w:val="28"/>
        </w:rPr>
      </w:pPr>
    </w:p>
    <w:tbl>
      <w:tblPr>
        <w:tblW w:w="8946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93"/>
        <w:gridCol w:w="1608"/>
        <w:gridCol w:w="461"/>
        <w:gridCol w:w="5063"/>
      </w:tblGrid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区县、学校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教材</w:t>
            </w:r>
          </w:p>
        </w:tc>
        <w:tc>
          <w:tcPr>
            <w:tcW w:w="5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课题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垫江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ind w:firstLineChars="600" w:firstLine="1680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尊重知识产权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石柱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尊重知识产权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北碚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尊重知识产权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九龙坡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尊重知识产权</w:t>
            </w:r>
          </w:p>
        </w:tc>
      </w:tr>
      <w:tr w:rsidR="00AD494D" w:rsidRPr="00403F30" w:rsidTr="00DD026E">
        <w:trPr>
          <w:trHeight w:val="473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梁平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订立合同学问大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铜梁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订立合同学问大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黔江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订立合同学问大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渝中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订立合同学问大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忠县　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权利保障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于法有据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潼南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权利保障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于法有据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万盛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权利保障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于法有据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重庆一中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权利保障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于法有据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酉阳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权利行使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注意界限</w:t>
            </w:r>
          </w:p>
        </w:tc>
      </w:tr>
      <w:tr w:rsidR="00AD494D" w:rsidRPr="00403F30" w:rsidTr="00DD026E">
        <w:trPr>
          <w:trHeight w:val="156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lastRenderedPageBreak/>
              <w:t>奉节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权利行使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注意界限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巴南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权利行使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注意界限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渝北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权利行使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注意界限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秀山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家和万事兴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南川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家和万事兴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大渡口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家和万事兴</w:t>
            </w:r>
          </w:p>
        </w:tc>
      </w:tr>
      <w:tr w:rsidR="00AD494D" w:rsidRPr="00403F30" w:rsidTr="00DD026E">
        <w:trPr>
          <w:trHeight w:val="28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重庆外语校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家和万事兴</w:t>
            </w:r>
          </w:p>
        </w:tc>
      </w:tr>
      <w:tr w:rsidR="00AD494D" w:rsidRPr="00403F30" w:rsidTr="00DD026E">
        <w:trPr>
          <w:trHeight w:val="156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156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开州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心中有数上职场</w:t>
            </w:r>
          </w:p>
        </w:tc>
      </w:tr>
      <w:tr w:rsidR="00AD494D" w:rsidRPr="00403F30" w:rsidTr="00DD026E">
        <w:trPr>
          <w:trHeight w:val="78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大足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心中有数上职场</w:t>
            </w:r>
          </w:p>
        </w:tc>
      </w:tr>
      <w:tr w:rsidR="00AD494D" w:rsidRPr="00403F30" w:rsidTr="00DD026E">
        <w:trPr>
          <w:trHeight w:val="78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綦江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心中有数上职场</w:t>
            </w:r>
          </w:p>
        </w:tc>
      </w:tr>
      <w:tr w:rsidR="00AD494D" w:rsidRPr="00403F30" w:rsidTr="00DD026E">
        <w:trPr>
          <w:trHeight w:val="78"/>
        </w:trPr>
        <w:tc>
          <w:tcPr>
            <w:tcW w:w="1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沙坪坝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选择性必修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心中有数上职场</w:t>
            </w:r>
          </w:p>
        </w:tc>
      </w:tr>
      <w:tr w:rsidR="00AD494D" w:rsidRPr="00403F30" w:rsidTr="00DD026E">
        <w:trPr>
          <w:trHeight w:val="360"/>
        </w:trPr>
        <w:tc>
          <w:tcPr>
            <w:tcW w:w="8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b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b/>
                <w:sz w:val="28"/>
                <w:szCs w:val="28"/>
              </w:rPr>
              <w:t>高中赛课内容（第二组）</w:t>
            </w:r>
          </w:p>
          <w:tbl>
            <w:tblPr>
              <w:tblStyle w:val="a3"/>
              <w:tblW w:w="8931" w:type="dxa"/>
              <w:tblLayout w:type="fixed"/>
              <w:tblLook w:val="04A0" w:firstRow="1" w:lastRow="0" w:firstColumn="1" w:lastColumn="0" w:noHBand="0" w:noVBand="1"/>
            </w:tblPr>
            <w:tblGrid>
              <w:gridCol w:w="1858"/>
              <w:gridCol w:w="2268"/>
              <w:gridCol w:w="4805"/>
            </w:tblGrid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区县、学校</w:t>
                  </w:r>
                </w:p>
              </w:tc>
              <w:tc>
                <w:tcPr>
                  <w:tcW w:w="226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课题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云阳</w:t>
                  </w:r>
                </w:p>
              </w:tc>
              <w:tc>
                <w:tcPr>
                  <w:tcW w:w="226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逻辑思维的基本要求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武隆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逻辑思维的基本要求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璧山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逻辑思维的基本要求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南开中学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逻辑思维的基本要求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巫山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正确运用复合判断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涪陵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正确运用复合判断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两江新区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正确运用复合判断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重庆八中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正确运用复合判断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巫溪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简单判断的演绎推理方法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合川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简单判断的演绎推理方法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江津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简单判断的演绎推理方法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育才中学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简单判断的演绎推理方法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城口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复合判断的演绎推理方法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长寿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复合判断的演绎推理方法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ind w:firstLineChars="200" w:firstLine="560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高新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复合判断的演绎推理方法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南岸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复合判断的演绎推理方法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荣昌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归纳推理及其方法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永川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归纳推理及其方法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万州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归纳推理及其方法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巴蜀中学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归纳推理及其方法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丰都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发散思维与聚合思维的方法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彭水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发散思维与聚合思维的方法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江北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发散思维与聚合思维的方法</w:t>
                  </w:r>
                </w:p>
              </w:tc>
            </w:tr>
            <w:tr w:rsidR="00AD494D" w:rsidRPr="00403F30" w:rsidTr="00DD026E">
              <w:tc>
                <w:tcPr>
                  <w:tcW w:w="1858" w:type="dxa"/>
                  <w:vAlign w:val="center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西大附中</w:t>
                  </w:r>
                </w:p>
              </w:tc>
              <w:tc>
                <w:tcPr>
                  <w:tcW w:w="2268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选择性必修</w:t>
                  </w: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5" w:type="dxa"/>
                </w:tcPr>
                <w:p w:rsidR="00AD494D" w:rsidRPr="00403F30" w:rsidRDefault="00AD494D" w:rsidP="00DD026E">
                  <w:pPr>
                    <w:jc w:val="center"/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</w:pPr>
                  <w:r w:rsidRPr="00403F30">
                    <w:rPr>
                      <w:rStyle w:val="NormalCharacter"/>
                      <w:rFonts w:eastAsia="方正仿宋_GBK"/>
                      <w:sz w:val="28"/>
                      <w:szCs w:val="28"/>
                    </w:rPr>
                    <w:t>发散思维与聚合思维的方法</w:t>
                  </w:r>
                </w:p>
              </w:tc>
            </w:tr>
          </w:tbl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b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b/>
                <w:sz w:val="28"/>
                <w:szCs w:val="28"/>
              </w:rPr>
              <w:t>初中赛课内容</w:t>
            </w:r>
            <w:r w:rsidRPr="00403F30">
              <w:rPr>
                <w:rStyle w:val="NormalCharacter"/>
                <w:rFonts w:eastAsia="方正仿宋_GBK"/>
                <w:b/>
                <w:sz w:val="28"/>
                <w:szCs w:val="28"/>
              </w:rPr>
              <w:t xml:space="preserve">  </w:t>
            </w:r>
            <w:r w:rsidRPr="00403F30">
              <w:rPr>
                <w:rStyle w:val="NormalCharacter"/>
                <w:rFonts w:eastAsia="方正仿宋_GBK"/>
                <w:b/>
                <w:sz w:val="28"/>
                <w:szCs w:val="28"/>
              </w:rPr>
              <w:t>（第一组）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区县、学校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赛课主题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赛课内容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酉阳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生命安全与健康教育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color w:val="0000FF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客观认识和对待自己，形成正确的自我认同，提高自我管理能力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;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理解不同的社会角色，形成亲社会的行为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;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能正确认识和处理自己与同学、朋友的关系，个人和集体的关系，在团队活动中增强合作精神。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奉节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生命安全与健康教育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客观认识和对待自己，形成正确的自我认同，提高自我管理能力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;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理解不同的社会角色，形成亲社会的行为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;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能正确认识和处理自己与同学、朋友的关系，个人和集体的关系，在团队活动中增强合作精神。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巴南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生命安全与健康教育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客观认识和对待自己，形成正确的自我认同，提高自我管理能力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;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理解不同的社会角色，形成亲社会的行为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;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能正确认识和处理自己与同学、朋友的关系，个人和集体的关系，在团队活动中增强合作精神。</w:t>
            </w:r>
          </w:p>
        </w:tc>
      </w:tr>
      <w:tr w:rsidR="00AD494D" w:rsidRPr="00403F30" w:rsidTr="00DD026E">
        <w:trPr>
          <w:trHeight w:val="156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渝北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生命安全与健康教育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客观认识和对待自己，形成正确的自我认同，提高自我管理能力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;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理解不同的社会角色，形成亲社会的行为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;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能正确认识和处理自己与同学、朋友的关系，个人和集体的关系，在团队活动中增强合作精神。</w:t>
            </w:r>
          </w:p>
        </w:tc>
      </w:tr>
      <w:tr w:rsidR="00AD494D" w:rsidRPr="00403F30" w:rsidTr="00DD026E">
        <w:trPr>
          <w:trHeight w:val="529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359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秀山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生命安全与健康教育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树立正确的人生观和价值观，尊重和敬畏生命，热爱生活，追求生命高度，成就幸福人生。</w:t>
            </w:r>
          </w:p>
        </w:tc>
      </w:tr>
      <w:tr w:rsidR="00AD494D" w:rsidRPr="00403F30" w:rsidTr="00DD026E">
        <w:trPr>
          <w:trHeight w:val="60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南川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生命安全与健康教育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树立正确的人生观和价值观，尊重和敬畏生命，热爱生活，追求生命高度，成就幸福人生。</w:t>
            </w:r>
          </w:p>
        </w:tc>
      </w:tr>
      <w:tr w:rsidR="00AD494D" w:rsidRPr="00403F30" w:rsidTr="00DD026E">
        <w:trPr>
          <w:trHeight w:val="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大渡口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生命安全与健康教育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树立正确的人生观和价值观，尊重和敬畏生命，热爱生活，追求生命高度，成就幸福人生。</w:t>
            </w:r>
          </w:p>
        </w:tc>
      </w:tr>
      <w:tr w:rsidR="00AD494D" w:rsidRPr="00403F30" w:rsidTr="00DD026E">
        <w:trPr>
          <w:trHeight w:val="7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外国语学校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生命安全与健康教育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树立正确的人生观和价值观，尊重和敬畏生命，热爱生活，追求生命高度，成就幸福人生。</w:t>
            </w:r>
          </w:p>
        </w:tc>
      </w:tr>
      <w:tr w:rsidR="00AD494D" w:rsidRPr="00403F30" w:rsidTr="00DD026E">
        <w:trPr>
          <w:trHeight w:val="613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color w:val="0000FF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开县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了解宪法基本知识，明确宪法的地位与作用，树立宪法法律至上观念。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大足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了解宪法基本知识，明确宪法的地位与作用，树立宪法法律至上观念。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綦江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了解宪法基本知识，明确宪法的地位与作用，树立宪法法律至上观念。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沙坪坝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了解宪法基本知识，明确宪法的地位与作用，树立宪法法律至上观念。</w:t>
            </w:r>
          </w:p>
        </w:tc>
      </w:tr>
      <w:tr w:rsidR="00AD494D" w:rsidRPr="00403F30" w:rsidTr="00DD026E">
        <w:trPr>
          <w:trHeight w:val="63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970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云阳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了解人民代表大会制度是我国的根本政治制度，理解全过程人民民主的制度优势。</w:t>
            </w:r>
          </w:p>
        </w:tc>
      </w:tr>
      <w:tr w:rsidR="00AD494D" w:rsidRPr="00403F30" w:rsidTr="00DD026E">
        <w:trPr>
          <w:trHeight w:val="939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武隆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了解人民代表大会制度是我国的根本政治制度，理解全过程人民民主的制度优势。</w:t>
            </w:r>
          </w:p>
        </w:tc>
      </w:tr>
      <w:tr w:rsidR="00AD494D" w:rsidRPr="00403F30" w:rsidTr="00DD026E">
        <w:trPr>
          <w:trHeight w:val="8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璧山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了解人民代表大会制度是我国的根本政治制度，理解全过程人民民主的制度优势。</w:t>
            </w:r>
          </w:p>
        </w:tc>
      </w:tr>
      <w:tr w:rsidR="00AD494D" w:rsidRPr="00403F30" w:rsidTr="00DD026E">
        <w:trPr>
          <w:trHeight w:val="867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南开中学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了解人民代表大会制度是我国的根本政治制度，理解全过程人民民主的制度优势。</w:t>
            </w:r>
          </w:p>
        </w:tc>
      </w:tr>
      <w:tr w:rsidR="00AD494D" w:rsidRPr="00403F30" w:rsidTr="00DD026E">
        <w:trPr>
          <w:trHeight w:val="791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巫山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认识国家主权的内涵，树立国家利益至上的观念，理解总体国家安全观，知道维护国家安全是每个公民的义务，自觉维护国家安全。</w:t>
            </w:r>
          </w:p>
        </w:tc>
      </w:tr>
      <w:tr w:rsidR="00AD494D" w:rsidRPr="00403F30" w:rsidTr="00DD026E">
        <w:trPr>
          <w:trHeight w:val="166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涪陵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认识国家主权的内涵，树立国家利益至上的观念，理解总体国家安全观，知道维护国家安全是每个公民的义务，自觉维护国家安全。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两江新区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认识国家主权的内涵，树立国家利益至上的观念，理解总体国家安全观，知道维护国家安全是每个公民的义务，自觉维护国家安全。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重庆八中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法治教育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认识国家主权的内涵，树立国家利益至上的观念，理解总体国家安全观，知道维护国家安全是每个公民的义务，自觉维护国家安全。</w:t>
            </w:r>
          </w:p>
        </w:tc>
      </w:tr>
      <w:tr w:rsidR="00AD494D" w:rsidRPr="00403F30" w:rsidTr="00DD026E">
        <w:trPr>
          <w:trHeight w:val="801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2697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巫溪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革命传统教育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中国共产党领导人民解放思想、锐意进取，创造了改革开放和社会主义现代化建设的伟大成就，实现了人民生活从温饱不足到总体小康、奔向全面小康的历史性跨越，推进了中华民族从站起来到富起来的伟大飞跃，理解中国特色社会主义道路是指引中国发展繁荣的正确道路。</w:t>
            </w:r>
          </w:p>
        </w:tc>
      </w:tr>
      <w:tr w:rsidR="00AD494D" w:rsidRPr="00403F30" w:rsidTr="00DD026E">
        <w:trPr>
          <w:trHeight w:val="2706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合川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革命传统教育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了解中国共产党领导人民解放思想、锐意进取，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创造了改革开放和社会主义现代化建设的伟大成就，实现了人民生活从温饱不足到总体小康、奔向全面小康的历史性跨越，推进了中华民族从站起来到富起来的伟大飞跃，理解中国特色社会主义道路是指引中国发展繁荣的正确道路。</w:t>
            </w:r>
          </w:p>
        </w:tc>
      </w:tr>
      <w:tr w:rsidR="00AD494D" w:rsidRPr="00403F30" w:rsidTr="00DD026E">
        <w:trPr>
          <w:trHeight w:val="2741"/>
        </w:trPr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江津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革命传统教育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了解中国共产党领导人民解放思想、锐意进取，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创造了改革开放和社会主义现代化建设的伟大成就，实现了人民生活从温饱不足到总体小康、奔向全面小康的历史性跨越，推进了中华民族从站起来到富起来的伟大飞跃，理解中国特色社会主义道路是指引中国发展繁荣的正确道路。</w:t>
            </w:r>
          </w:p>
        </w:tc>
      </w:tr>
      <w:tr w:rsidR="00AD494D" w:rsidRPr="00403F30" w:rsidTr="00DD026E">
        <w:trPr>
          <w:trHeight w:val="28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育才中学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革命传统教育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中国共产党领导人民解放思想、锐意进取，创造了改革开放和社会主义现代化建设的伟大成就，实现了人民生活从温饱不足到总体小康、奔向全面小康的历史性跨越，推进了中华民族从站起来到富起来的伟大飞跃，理解中国特色社会主义道路是指引中国发展繁荣的正确道路。</w:t>
            </w:r>
          </w:p>
        </w:tc>
      </w:tr>
    </w:tbl>
    <w:p w:rsidR="00AD494D" w:rsidRPr="00403F30" w:rsidRDefault="00AD494D" w:rsidP="00AD494D">
      <w:pPr>
        <w:spacing w:line="600" w:lineRule="exact"/>
        <w:jc w:val="center"/>
        <w:rPr>
          <w:rFonts w:eastAsia="方正仿宋_GBK"/>
          <w:b/>
          <w:sz w:val="32"/>
          <w:szCs w:val="32"/>
        </w:rPr>
      </w:pPr>
      <w:r w:rsidRPr="00403F30">
        <w:rPr>
          <w:rStyle w:val="NormalCharacter"/>
          <w:rFonts w:eastAsia="方正仿宋_GBK"/>
          <w:b/>
          <w:sz w:val="28"/>
          <w:szCs w:val="28"/>
        </w:rPr>
        <w:t>初中赛课内容</w:t>
      </w:r>
      <w:r w:rsidRPr="00403F30">
        <w:rPr>
          <w:rStyle w:val="NormalCharacter"/>
          <w:rFonts w:eastAsia="方正仿宋_GBK"/>
          <w:b/>
          <w:sz w:val="28"/>
          <w:szCs w:val="28"/>
        </w:rPr>
        <w:t xml:space="preserve">  </w:t>
      </w:r>
      <w:r w:rsidRPr="00403F30">
        <w:rPr>
          <w:rStyle w:val="NormalCharacter"/>
          <w:rFonts w:eastAsia="方正仿宋_GBK"/>
          <w:b/>
          <w:sz w:val="28"/>
          <w:szCs w:val="28"/>
        </w:rPr>
        <w:t>（第二组）</w:t>
      </w:r>
    </w:p>
    <w:tbl>
      <w:tblPr>
        <w:tblStyle w:val="a3"/>
        <w:tblW w:w="9028" w:type="dxa"/>
        <w:tblLayout w:type="fixed"/>
        <w:tblLook w:val="04A0" w:firstRow="1" w:lastRow="0" w:firstColumn="1" w:lastColumn="0" w:noHBand="0" w:noVBand="1"/>
      </w:tblPr>
      <w:tblGrid>
        <w:gridCol w:w="1798"/>
        <w:gridCol w:w="1474"/>
        <w:gridCol w:w="5756"/>
      </w:tblGrid>
      <w:tr w:rsidR="00AD494D" w:rsidRPr="00403F30" w:rsidTr="00DD026E">
        <w:trPr>
          <w:trHeight w:val="672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区县、学校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赛课主题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赛课内容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城口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中华优秀传统文化教育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弘扬中华优秀传统文化讲仁爱、重民本、守诚信、崇正义、尚和合、求大同的核心理念。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长寿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中华优秀传统文化教育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弘扬中华优秀传统文化讲仁爱、重民本、守诚信、崇正义、尚和合、求大同的核心理念。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高新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中华优秀传统文化教育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弘扬中华优秀传统文化讲仁爱、重民本、守诚信、崇正义、尚和合、求大同的核心理念。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南岸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中华优秀传统文化教育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弘扬中华优秀传统文化讲仁爱、重民本、守诚信、崇正义、尚和合、求大同的核心理念。</w:t>
            </w:r>
          </w:p>
        </w:tc>
      </w:tr>
      <w:tr w:rsidR="00AD494D" w:rsidRPr="00403F30" w:rsidTr="00DD026E">
        <w:trPr>
          <w:trHeight w:val="605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rPr>
          <w:trHeight w:val="1279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荣昌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中华优秀传统文化教育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感悟天下兴亡、匹夫有责的担当意识，厚植爱国主义情怀。</w:t>
            </w:r>
          </w:p>
        </w:tc>
      </w:tr>
      <w:tr w:rsidR="00AD494D" w:rsidRPr="00403F30" w:rsidTr="00DD026E">
        <w:trPr>
          <w:trHeight w:val="1256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永川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中华优秀传统文化教育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感悟天下兴亡、匹夫有责的担当意识，厚植爱国主义情怀。</w:t>
            </w:r>
          </w:p>
        </w:tc>
      </w:tr>
      <w:tr w:rsidR="00AD494D" w:rsidRPr="00403F30" w:rsidTr="00DD026E">
        <w:trPr>
          <w:trHeight w:val="1314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万州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中华优秀传统文化教育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感悟天下兴亡、匹夫有责的担当意识，厚植爱国主义情怀。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巴蜀中学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中华优秀传统文化教育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感悟天下兴亡、匹夫有责的担当意识，厚植爱国主义情怀。</w:t>
            </w:r>
          </w:p>
        </w:tc>
      </w:tr>
      <w:tr w:rsidR="00AD494D" w:rsidRPr="00403F30" w:rsidTr="00DD026E">
        <w:trPr>
          <w:trHeight w:val="809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丰都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了解中国特色社会主义新时代是我国发展新的历史方位，中国社会的主要矛盾发生了新变化，理解中国发展的历史方位。</w:t>
            </w:r>
          </w:p>
        </w:tc>
      </w:tr>
      <w:tr w:rsidR="00AD494D" w:rsidRPr="00403F30" w:rsidTr="00DD026E">
        <w:trPr>
          <w:trHeight w:val="751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彭水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了解中国特色社会主义新时代是我国发展新的历史方位，中国社会的主要矛盾发生了新变化，理解中国发展的历史方位。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江北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了解中国特色社会主义新时代是我国发展新的历史方位，中国社会的主要矛盾发生了新变化，理解中国发展的历史方位。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西大附中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了解中国特色社会主义新时代是我国发展新的历史方位，中国社会的主要矛盾发生了新变化，理解中国发展的历史方位。</w:t>
            </w:r>
          </w:p>
        </w:tc>
      </w:tr>
      <w:tr w:rsidR="00AD494D" w:rsidRPr="00403F30" w:rsidTr="00DD026E">
        <w:trPr>
          <w:trHeight w:val="645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垫江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了解世界正处于百年未有之大变局，了解全人类共同价值的内涵，领悟构建人类命运共同体的意义。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石柱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了解世界正处于百年未有之大变局，了解全人类共同价值的内涵，领悟构建人类命运共同体的意义。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北碚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了解世界正处于百年未有之大变局，了解全人类共同价值的内涵，领悟构建人类命运共同体的意义。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九龙坡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了解世界正处于百年未有之大变局，了解全人类共同价值的内涵，领悟构建人类命运共同体的意义。</w:t>
            </w:r>
          </w:p>
        </w:tc>
      </w:tr>
      <w:tr w:rsidR="00AD494D" w:rsidRPr="00403F30" w:rsidTr="00DD026E">
        <w:trPr>
          <w:trHeight w:val="780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梁平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了解我国以国内大循环为主体、国内国际双循环相互促进的新发展格局，推动高质量发展，知道统筹推进经济建设、政治建设、文化建设、社会建设、生态文明建设的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五位一体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”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总体布局。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铜梁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了解我国以国内大循环为主体、国内国际双循环相互促进的新发展格局，推动高质量发展，知道统筹推进经济建设、政治建设、文化建设、社会建设、生态文明建设的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五位一体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”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总体布局。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黔江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了解我国以国内大循环为主体、国内国际双循环相互促进的新发展格局，推动高质量发展，知道统筹推进经济建设、政治建设、文化建设、社会建设、生态文明建设的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五位一体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”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总体布局。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渝中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了解我国以国内大循环为主体、国内国际双循环相互促进的新发展格局，推动高质量发展，知道统筹推进经济建设、政治建设、文化建设、社会建设、生态文明建设的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五位一体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”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总体布局。</w:t>
            </w:r>
          </w:p>
        </w:tc>
      </w:tr>
      <w:tr w:rsidR="00AD494D" w:rsidRPr="00403F30" w:rsidTr="00DD026E">
        <w:trPr>
          <w:trHeight w:val="629"/>
        </w:trPr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忠县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以实现中华民族伟大复兴为己任，树立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劳动光荣、创造伟大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”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的观念，进行合理的生涯规划，坚定为实现远大理想而奋斗的信念。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潼南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以实现中华民族伟大复兴为己任，树立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劳动光荣、创造伟大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”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的观念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进行合理的生涯规划，坚定为实现远大理想而奋斗的信念。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万盛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以实现中华民族伟大复兴为己任，树立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劳动光荣、创造伟大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”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的观念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进行合理的生涯规划，坚定为实现远大理想而奋斗的信念。</w:t>
            </w:r>
          </w:p>
        </w:tc>
      </w:tr>
      <w:tr w:rsidR="00AD494D" w:rsidRPr="00403F30" w:rsidTr="00DD026E">
        <w:tc>
          <w:tcPr>
            <w:tcW w:w="1798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重庆一中</w:t>
            </w:r>
          </w:p>
        </w:tc>
        <w:tc>
          <w:tcPr>
            <w:tcW w:w="1474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center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国情教育</w:t>
            </w:r>
          </w:p>
        </w:tc>
        <w:tc>
          <w:tcPr>
            <w:tcW w:w="5756" w:type="dxa"/>
            <w:vAlign w:val="center"/>
          </w:tcPr>
          <w:p w:rsidR="00AD494D" w:rsidRPr="00403F30" w:rsidRDefault="00AD494D" w:rsidP="00DD026E">
            <w:pPr>
              <w:spacing w:line="360" w:lineRule="exact"/>
              <w:jc w:val="left"/>
              <w:rPr>
                <w:rStyle w:val="NormalCharacter"/>
                <w:rFonts w:eastAsia="方正仿宋_GBK"/>
                <w:sz w:val="28"/>
                <w:szCs w:val="28"/>
              </w:rPr>
            </w:pP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以实现中华民族伟大复兴为己任，树立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“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劳动光荣、创造伟大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”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的观念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 xml:space="preserve"> </w:t>
            </w:r>
            <w:r w:rsidRPr="00403F30">
              <w:rPr>
                <w:rStyle w:val="NormalCharacter"/>
                <w:rFonts w:eastAsia="方正仿宋_GBK"/>
                <w:sz w:val="28"/>
                <w:szCs w:val="28"/>
              </w:rPr>
              <w:t>进行合理的生涯规划，坚定为实现远大理想而奋斗的信念。</w:t>
            </w:r>
          </w:p>
        </w:tc>
      </w:tr>
    </w:tbl>
    <w:p w:rsidR="00AD494D" w:rsidRPr="00403F30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Pr="00403F30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Pr="00403F30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Pr="00403F30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AD494D" w:rsidRDefault="00AD494D" w:rsidP="00AD494D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:rsidR="00C76D3F" w:rsidRDefault="00C76D3F">
      <w:bookmarkStart w:id="0" w:name="_GoBack"/>
      <w:bookmarkEnd w:id="0"/>
    </w:p>
    <w:sectPr w:rsidR="00C76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D"/>
    <w:rsid w:val="00AD494D"/>
    <w:rsid w:val="00C7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4D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D49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sid w:val="00AD4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4D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D49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sid w:val="00AD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679</Words>
  <Characters>3875</Characters>
  <Application>Microsoft Office Word</Application>
  <DocSecurity>0</DocSecurity>
  <Lines>32</Lines>
  <Paragraphs>9</Paragraphs>
  <ScaleCrop>false</ScaleCrop>
  <Company>Sky123.Org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2022-09-22T08:38:00Z</dcterms:created>
  <dcterms:modified xsi:type="dcterms:W3CDTF">2022-09-22T08:39:00Z</dcterms:modified>
</cp:coreProperties>
</file>